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PDC-002: Address Change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PDC-002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 Operations Manager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 – Self-service (unless cross-state)</w:t>
            </w:r>
          </w:p>
        </w:tc>
      </w:tr>
    </w:tbl>
    <w:p/>
    <w:p>
      <w:pPr>
        <w:pStyle w:val="Heading2"/>
      </w:pPr>
      <w:r>
        <w:t>1. Overview</w:t>
      </w:r>
    </w:p>
    <w:p>
      <w:r>
        <w:t>Address changes are generally self-service and take effect within 2-3 business days. Cross-state moves may have payroll tax implications that require Payroll review.</w:t>
      </w:r>
    </w:p>
    <w:p>
      <w:pPr>
        <w:pStyle w:val="Heading2"/>
      </w:pPr>
      <w:r>
        <w:t>2. How to Update Your Address</w:t>
      </w:r>
    </w:p>
    <w:p>
      <w:r>
        <w:t>1. Log in to the HR Portal and navigate to Personal Information &gt; Address.</w:t>
      </w:r>
    </w:p>
    <w:p>
      <w:r>
        <w:t>2. Enter your new address including street, city, state, ZIP code, and country.</w:t>
      </w:r>
    </w:p>
    <w:p>
      <w:r>
        <w:t>3. Enter your move date (effective date).</w:t>
      </w:r>
    </w:p>
    <w:p>
      <w:r>
        <w:t>4. Submit the change.</w:t>
      </w:r>
    </w:p>
    <w:p>
      <w:pPr>
        <w:pStyle w:val="Heading2"/>
      </w:pPr>
      <w:r>
        <w:t>3. Cross-State Moves</w:t>
      </w:r>
    </w:p>
    <w:p>
      <w:r>
        <w:t>If you are moving to a different state, additional steps apply:</w:t>
      </w:r>
    </w:p>
    <w:p>
      <w:pPr>
        <w:pStyle w:val="ListBullet"/>
      </w:pPr>
      <w:r>
        <w:t>Payroll will review and update your state tax withholding</w:t>
      </w:r>
    </w:p>
    <w:p>
      <w:pPr>
        <w:pStyle w:val="ListBullet"/>
      </w:pPr>
      <w:r>
        <w:t>If your new state has different tax rates, you may notice a change in net pay</w:t>
      </w:r>
    </w:p>
    <w:p>
      <w:pPr>
        <w:pStyle w:val="ListBullet"/>
      </w:pPr>
      <w:r>
        <w:t>Remote work agreements may need to be updated</w:t>
      </w:r>
    </w:p>
    <w:p>
      <w:pPr>
        <w:pStyle w:val="ListBullet"/>
      </w:pPr>
      <w:r>
        <w:t>Benefits availability may change based on your new location (HMO plans are location-dependent)</w:t>
      </w:r>
    </w:p>
    <w:p>
      <w:pPr>
        <w:pStyle w:val="Heading2"/>
      </w:pPr>
      <w:r>
        <w:t>4. Processing Timeline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Change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</w:t>
            </w:r>
          </w:p>
        </w:tc>
      </w:tr>
      <w:tr>
        <w:tc>
          <w:tcPr>
            <w:tcW w:type="dxa" w:w="2880"/>
          </w:tcPr>
          <w:p>
            <w:r>
              <w:t>Same-state address change</w:t>
            </w:r>
          </w:p>
        </w:tc>
        <w:tc>
          <w:tcPr>
            <w:tcW w:type="dxa" w:w="2880"/>
          </w:tcPr>
          <w:p>
            <w:r>
              <w:t>2-3 business days</w:t>
            </w:r>
          </w:p>
        </w:tc>
        <w:tc>
          <w:tcPr>
            <w:tcW w:type="dxa" w:w="2880"/>
          </w:tcPr>
          <w:p>
            <w:r>
              <w:t>Self-service (no approval)</w:t>
            </w:r>
          </w:p>
        </w:tc>
      </w:tr>
      <w:tr>
        <w:tc>
          <w:tcPr>
            <w:tcW w:type="dxa" w:w="2880"/>
          </w:tcPr>
          <w:p>
            <w:r>
              <w:t>Cross-state move</w:t>
            </w:r>
          </w:p>
        </w:tc>
        <w:tc>
          <w:tcPr>
            <w:tcW w:type="dxa" w:w="2880"/>
          </w:tcPr>
          <w:p>
            <w:r>
              <w:t>5-7 business days</w:t>
            </w:r>
          </w:p>
        </w:tc>
        <w:tc>
          <w:tcPr>
            <w:tcW w:type="dxa" w:w="2880"/>
          </w:tcPr>
          <w:p>
            <w:r>
              <w:t>Payroll review required</w:t>
            </w:r>
          </w:p>
        </w:tc>
      </w:tr>
      <w:tr>
        <w:tc>
          <w:tcPr>
            <w:tcW w:type="dxa" w:w="2880"/>
          </w:tcPr>
          <w:p>
            <w:r>
              <w:t>International relocation</w:t>
            </w:r>
          </w:p>
        </w:tc>
        <w:tc>
          <w:tcPr>
            <w:tcW w:type="dxa" w:w="2880"/>
          </w:tcPr>
          <w:p>
            <w:r>
              <w:t>Contact HR Global Mobility</w:t>
            </w:r>
          </w:p>
        </w:tc>
        <w:tc>
          <w:tcPr>
            <w:tcW w:type="dxa" w:w="2880"/>
          </w:tcPr>
          <w:p>
            <w:r>
              <w:t>HR + Legal + Tax review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