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PDC-005: Preferred Name Update Policy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PDC-005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HR Operations Manager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 – Self-service, no documentation required</w:t>
            </w:r>
          </w:p>
        </w:tc>
      </w:tr>
    </w:tbl>
    <w:p/>
    <w:p>
      <w:pPr>
        <w:pStyle w:val="Heading2"/>
      </w:pPr>
      <w:r>
        <w:t>1. Overview</w:t>
      </w:r>
    </w:p>
    <w:p>
      <w:r>
        <w:t>We respect every employee's right to be addressed by their chosen name. Preferred name changes update display systems only and do not affect legal or payroll records.</w:t>
      </w:r>
    </w:p>
    <w:p>
      <w:pPr>
        <w:pStyle w:val="Heading2"/>
      </w:pPr>
      <w:r>
        <w:t>2. What Gets Updated</w:t>
      </w:r>
    </w:p>
    <w:p>
      <w:pPr>
        <w:pStyle w:val="ListBullet"/>
      </w:pPr>
      <w:r>
        <w:t>Email display name</w:t>
      </w:r>
    </w:p>
    <w:p>
      <w:pPr>
        <w:pStyle w:val="ListBullet"/>
      </w:pPr>
      <w:r>
        <w:t>Microsoft Teams profile</w:t>
      </w:r>
    </w:p>
    <w:p>
      <w:pPr>
        <w:pStyle w:val="ListBullet"/>
      </w:pPr>
      <w:r>
        <w:t>Corporate directory / org chart</w:t>
      </w:r>
    </w:p>
    <w:p>
      <w:pPr>
        <w:pStyle w:val="ListBullet"/>
      </w:pPr>
      <w:r>
        <w:t>Building access display (optional)</w:t>
      </w:r>
    </w:p>
    <w:p>
      <w:pPr>
        <w:pStyle w:val="ListBullet"/>
      </w:pPr>
      <w:r>
        <w:t>Business cards (upon request)</w:t>
      </w:r>
    </w:p>
    <w:p>
      <w:pPr>
        <w:pStyle w:val="Heading2"/>
      </w:pPr>
      <w:r>
        <w:t>3. What Does NOT Change</w:t>
      </w:r>
    </w:p>
    <w:p>
      <w:pPr>
        <w:pStyle w:val="ListBullet"/>
      </w:pPr>
      <w:r>
        <w:t>Legal name on payroll and tax documents</w:t>
      </w:r>
    </w:p>
    <w:p>
      <w:pPr>
        <w:pStyle w:val="ListBullet"/>
      </w:pPr>
      <w:r>
        <w:t>Benefits enrollment records</w:t>
      </w:r>
    </w:p>
    <w:p>
      <w:pPr>
        <w:pStyle w:val="ListBullet"/>
      </w:pPr>
      <w:r>
        <w:t>Government ID records</w:t>
      </w:r>
    </w:p>
    <w:p>
      <w:pPr>
        <w:pStyle w:val="ListBullet"/>
      </w:pPr>
      <w:r>
        <w:t>Formal HR/legal correspondence</w:t>
      </w:r>
    </w:p>
    <w:p>
      <w:pPr>
        <w:pStyle w:val="Heading2"/>
      </w:pPr>
      <w:r>
        <w:t>4. How to Update</w:t>
      </w:r>
    </w:p>
    <w:p>
      <w:r>
        <w:t>Self-service through the HR Portal under Personal Information &gt; Preferred Name. No documentation or approval required. Changes take effect within 24-48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