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Aptos Display" w:hAnsi="Aptos Display"/>
          <w:b/>
          <w:color w:val="163A5F"/>
          <w:sz w:val="36"/>
        </w:rPr>
        <w:t>CATEGORY INTELLIGENCE</w:t>
      </w:r>
    </w:p>
    <w:p>
      <w:pPr>
        <w:spacing w:after="80"/>
      </w:pPr>
      <w:r>
        <w:rPr>
          <w:b/>
          <w:color w:val="2F6B9A"/>
          <w:sz w:val="18"/>
        </w:rPr>
        <w:t>RETAIL PRODUCT PERFORMANCE EDA  |  TEAM INSIGHT SUMMARY</w:t>
      </w:r>
    </w:p>
    <w:p>
      <w:pPr>
        <w:spacing w:after="100"/>
      </w:pPr>
      <w:r>
        <w:rPr>
          <w:color w:val="66737F"/>
          <w:sz w:val="15"/>
        </w:rPr>
        <w:t>Calibo AI Academy · Path 2 · KLU Batch · Mini Use Case 01  •  Jan–Jun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58"/>
      </w:tblGrid>
      <w:tr>
        <w:tc>
          <w:tcPr>
            <w:tcW w:type="dxa" w:w="10858"/>
            <w:shd w:fill="163A5F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EAF2F8"/>
            <w:tcBorders>
              <w:top w:val="single" w:sz="5" w:color="D6DEE6"/>
              <w:left w:val="single" w:sz="5" w:color="D6DEE6"/>
              <w:bottom w:val="single" w:sz="5" w:color="D6DEE6"/>
              <w:right w:val="single" w:sz="5" w:color="D6DEE6"/>
            </w:tcBorders>
            <w:tcMar>
              <w:top w:w="65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F6B9A"/>
                <w:sz w:val="24"/>
              </w:rPr>
              <w:t>₹459.8M</w:t>
            </w:r>
          </w:p>
          <w:p>
            <w:pPr>
              <w:spacing w:after="0"/>
              <w:jc w:val="center"/>
            </w:pPr>
            <w:r>
              <w:rPr>
                <w:b/>
                <w:color w:val="66737F"/>
                <w:sz w:val="12"/>
              </w:rPr>
              <w:t>H1 GROSS REVENUE</w:t>
            </w:r>
          </w:p>
        </w:tc>
        <w:tc>
          <w:tcPr>
            <w:tcW w:type="dxa" w:w="2714"/>
            <w:shd w:fill="F4F6F8"/>
            <w:tcBorders>
              <w:top w:val="single" w:sz="5" w:color="D6DEE6"/>
              <w:left w:val="single" w:sz="5" w:color="D6DEE6"/>
              <w:bottom w:val="single" w:sz="5" w:color="D6DEE6"/>
              <w:right w:val="single" w:sz="5" w:color="D6DEE6"/>
            </w:tcBorders>
            <w:tcMar>
              <w:top w:w="65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3A5F"/>
                <w:sz w:val="24"/>
              </w:rPr>
              <w:t>107,836</w:t>
            </w:r>
          </w:p>
          <w:p>
            <w:pPr>
              <w:spacing w:after="0"/>
              <w:jc w:val="center"/>
            </w:pPr>
            <w:r>
              <w:rPr>
                <w:b/>
                <w:color w:val="66737F"/>
                <w:sz w:val="12"/>
              </w:rPr>
              <w:t>VALIDATED POS ORDERS</w:t>
            </w:r>
          </w:p>
        </w:tc>
        <w:tc>
          <w:tcPr>
            <w:tcW w:type="dxa" w:w="2714"/>
            <w:shd w:fill="FBECEE"/>
            <w:tcBorders>
              <w:top w:val="single" w:sz="5" w:color="D6DEE6"/>
              <w:left w:val="single" w:sz="5" w:color="D6DEE6"/>
              <w:bottom w:val="single" w:sz="5" w:color="D6DEE6"/>
              <w:right w:val="single" w:sz="5" w:color="D6DEE6"/>
            </w:tcBorders>
            <w:tcMar>
              <w:top w:w="65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23A48"/>
                <w:sz w:val="24"/>
              </w:rPr>
              <w:t>−18.3%</w:t>
            </w:r>
          </w:p>
          <w:p>
            <w:pPr>
              <w:spacing w:after="0"/>
              <w:jc w:val="center"/>
            </w:pPr>
            <w:r>
              <w:rPr>
                <w:b/>
                <w:color w:val="66737F"/>
                <w:sz w:val="12"/>
              </w:rPr>
              <w:t>RUN-RATE CONTRACTION</w:t>
            </w:r>
          </w:p>
        </w:tc>
        <w:tc>
          <w:tcPr>
            <w:tcW w:type="dxa" w:w="2714"/>
            <w:shd w:fill="EAF6F0"/>
            <w:tcBorders>
              <w:top w:val="single" w:sz="5" w:color="D6DEE6"/>
              <w:left w:val="single" w:sz="5" w:color="D6DEE6"/>
              <w:bottom w:val="single" w:sz="5" w:color="D6DEE6"/>
              <w:right w:val="single" w:sz="5" w:color="D6DEE6"/>
            </w:tcBorders>
            <w:tcMar>
              <w:top w:w="65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E7D5B"/>
                <w:sz w:val="24"/>
              </w:rPr>
              <w:t>+34.1%</w:t>
            </w:r>
          </w:p>
          <w:p>
            <w:pPr>
              <w:spacing w:after="0"/>
              <w:jc w:val="center"/>
            </w:pPr>
            <w:r>
              <w:rPr>
                <w:b/>
                <w:color w:val="66737F"/>
                <w:sz w:val="12"/>
              </w:rPr>
              <w:t>APPAREL MOMENTUM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832"/>
            <w:tcMar>
              <w:top w:w="50" w:type="dxa"/>
              <w:start w:w="80" w:type="dxa"/>
              <w:bottom w:w="40" w:type="dxa"/>
              <w:end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163A5F"/>
                <w:sz w:val="17"/>
              </w:rPr>
              <w:t>KEY FINDINGS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832"/>
            </w:tblGrid>
            <w:tr>
              <w:tc>
                <w:tcPr>
                  <w:tcW w:type="dxa" w:w="5832"/>
                  <w:shd w:fill="FBECEE"/>
                  <w:tcBorders>
                    <w:top w:val="single" w:sz="5" w:color="D6DEE6"/>
                    <w:left w:val="single" w:sz="5" w:color="D6DEE6"/>
                    <w:bottom w:val="single" w:sz="5" w:color="D6DEE6"/>
                    <w:right w:val="single" w:sz="5" w:color="D6DEE6"/>
                  </w:tcBorders>
                  <w:tcMar>
                    <w:top w:w="75" w:type="dxa"/>
                    <w:start w:w="95" w:type="dxa"/>
                    <w:bottom w:w="70" w:type="dxa"/>
                    <w:end w:w="95" w:type="dxa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color w:val="B23A48"/>
                      <w:sz w:val="18"/>
                    </w:rPr>
                    <w:t xml:space="preserve">01  </w:t>
                  </w:r>
                  <w:r>
                    <w:rPr>
                      <w:b/>
                      <w:color w:val="263238"/>
                      <w:sz w:val="17"/>
                    </w:rPr>
                    <w:t>Electronics is the main drag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color w:val="263238"/>
                      <w:sz w:val="15"/>
                    </w:rPr>
                    <w:t>₹226.5M H1 revenue (49.3% share), but −35.0% from ₹45.7M in Jan to ₹29.7M in Jun. Its ₹16.0M monthly loss exceeded the chain’s net ₹15.5M decline.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832"/>
            </w:tblGrid>
            <w:tr>
              <w:tc>
                <w:tcPr>
                  <w:tcW w:type="dxa" w:w="5832"/>
                  <w:shd w:fill="EAF6F0"/>
                  <w:tcBorders>
                    <w:top w:val="single" w:sz="5" w:color="D6DEE6"/>
                    <w:left w:val="single" w:sz="5" w:color="D6DEE6"/>
                    <w:bottom w:val="single" w:sz="5" w:color="D6DEE6"/>
                    <w:right w:val="single" w:sz="5" w:color="D6DEE6"/>
                  </w:tcBorders>
                  <w:tcMar>
                    <w:top w:w="75" w:type="dxa"/>
                    <w:start w:w="95" w:type="dxa"/>
                    <w:bottom w:w="70" w:type="dxa"/>
                    <w:end w:w="95" w:type="dxa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color w:val="2E7D5B"/>
                      <w:sz w:val="18"/>
                    </w:rPr>
                    <w:t xml:space="preserve">02  </w:t>
                  </w:r>
                  <w:r>
                    <w:rPr>
                      <w:b/>
                      <w:color w:val="263238"/>
                      <w:sz w:val="17"/>
                    </w:rPr>
                    <w:t>Apparel shows the strongest momentum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color w:val="263238"/>
                      <w:sz w:val="15"/>
                    </w:rPr>
                    <w:t>Revenue rose from ₹10.0M to ₹13.5M (+34.1%) and overtook Home &amp; Kitchen in June. It is the clearest sustained growth signal in the six-month data.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832"/>
            </w:tblGrid>
            <w:tr>
              <w:tc>
                <w:tcPr>
                  <w:tcW w:type="dxa" w:w="5832"/>
                  <w:shd w:fill="FBF4E7"/>
                  <w:tcBorders>
                    <w:top w:val="single" w:sz="5" w:color="D6DEE6"/>
                    <w:left w:val="single" w:sz="5" w:color="D6DEE6"/>
                    <w:bottom w:val="single" w:sz="5" w:color="D6DEE6"/>
                    <w:right w:val="single" w:sz="5" w:color="D6DEE6"/>
                  </w:tcBorders>
                  <w:tcMar>
                    <w:top w:w="75" w:type="dxa"/>
                    <w:start w:w="95" w:type="dxa"/>
                    <w:bottom w:w="70" w:type="dxa"/>
                    <w:end w:w="95" w:type="dxa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color w:val="B07A20"/>
                      <w:sz w:val="18"/>
                    </w:rPr>
                    <w:t xml:space="preserve">03  </w:t>
                  </w:r>
                  <w:r>
                    <w:rPr>
                      <w:b/>
                      <w:color w:val="263238"/>
                      <w:sz w:val="17"/>
                    </w:rPr>
                    <w:t>Discounts add no observed volume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color w:val="263238"/>
                      <w:sz w:val="15"/>
                    </w:rPr>
                    <w:t>Average units stay near 2.58 from 0%–20% discount, while average revenue/transaction falls from ₹4,686 to ₹3,632 (≈22%).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832"/>
            </w:tblGrid>
            <w:tr>
              <w:tc>
                <w:tcPr>
                  <w:tcW w:type="dxa" w:w="5832"/>
                  <w:shd w:fill="EAF2F8"/>
                  <w:tcBorders>
                    <w:top w:val="single" w:sz="5" w:color="D6DEE6"/>
                    <w:left w:val="single" w:sz="5" w:color="D6DEE6"/>
                    <w:bottom w:val="single" w:sz="5" w:color="D6DEE6"/>
                    <w:right w:val="single" w:sz="5" w:color="D6DEE6"/>
                  </w:tcBorders>
                  <w:tcMar>
                    <w:top w:w="75" w:type="dxa"/>
                    <w:start w:w="95" w:type="dxa"/>
                    <w:bottom w:w="70" w:type="dxa"/>
                    <w:end w:w="95" w:type="dxa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color w:val="2F6B9A"/>
                      <w:sz w:val="18"/>
                    </w:rPr>
                    <w:t xml:space="preserve">04  </w:t>
                  </w:r>
                  <w:r>
                    <w:rPr>
                      <w:b/>
                      <w:color w:val="263238"/>
                      <w:sz w:val="17"/>
                    </w:rPr>
                    <w:t>Demand is weekend-driven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color w:val="263238"/>
                      <w:sz w:val="15"/>
                    </w:rPr>
                    <w:t>Saturday averages ₹3.52M versus ₹2.01M on Monday (≈75% higher). Electronics follows the same weekend-skewed pattern as the chain.</w:t>
                  </w:r>
                </w:p>
              </w:tc>
            </w:tr>
          </w:tbl>
          <w:p/>
          <w:p>
            <w:pPr>
              <w:spacing w:after="20"/>
            </w:pPr>
          </w:p>
        </w:tc>
        <w:tc>
          <w:tcPr>
            <w:tcW w:type="dxa" w:w="4536"/>
            <w:tcMar>
              <w:top w:w="50" w:type="dxa"/>
              <w:start w:w="80" w:type="dxa"/>
              <w:bottom w:w="40" w:type="dxa"/>
              <w:end w:w="80" w:type="dxa"/>
            </w:tcMar>
            <w:shd w:fill="FFFFFF"/>
          </w:tcPr>
          <w:p/>
          <w:p>
            <w:pPr>
              <w:spacing w:before="0" w:after="40"/>
            </w:pPr>
            <w:r>
              <w:rPr>
                <w:b/>
                <w:color w:val="2E7D5B"/>
                <w:sz w:val="17"/>
              </w:rPr>
              <w:t>CATEGORY MANAGER BRIEFING</w:t>
            </w:r>
          </w:p>
          <w:p>
            <w:pPr>
              <w:spacing w:after="60"/>
            </w:pPr>
            <w:r>
              <w:rPr>
                <w:b/>
                <w:color w:val="2E7D5B"/>
                <w:sz w:val="22"/>
              </w:rPr>
              <w:t>BACK APPAREL</w:t>
            </w:r>
            <w:r>
              <w:rPr>
                <w:b/>
                <w:color w:val="2E7D5B"/>
                <w:sz w:val="20"/>
              </w:rPr>
              <w:t xml:space="preserve">  +34.1%</w:t>
            </w:r>
          </w:p>
          <w:p>
            <w:pPr>
              <w:spacing w:after="80" w:line="240" w:lineRule="auto"/>
            </w:pPr>
            <w:r>
              <w:t>Consider incremental shelf space and promotional funding based on its six-month momentum.</w:t>
            </w:r>
          </w:p>
          <w:p>
            <w:pPr>
              <w:spacing w:after="40"/>
            </w:pPr>
            <w:r>
              <w:rPr>
                <w:b/>
                <w:color w:val="B23A48"/>
                <w:sz w:val="18"/>
              </w:rPr>
              <w:t>CHALLENGE ELECTRONICS ON TREND</w:t>
            </w:r>
          </w:p>
          <w:p>
            <w:pPr>
              <w:spacing w:after="80" w:line="240" w:lineRule="auto"/>
            </w:pPr>
            <w:r>
              <w:t>Cite −35.0% growth and the ₹16.0M/month revenue loss rather than its current scale alone.</w:t>
            </w:r>
          </w:p>
          <w:p>
            <w:pPr>
              <w:spacing w:after="40"/>
            </w:pPr>
            <w:r>
              <w:rPr>
                <w:b/>
                <w:color w:val="B07A20"/>
                <w:sz w:val="18"/>
              </w:rPr>
              <w:t>RETHINK MID-WEEK DISCOUNTING</w:t>
            </w:r>
          </w:p>
          <w:p>
            <w:pPr>
              <w:spacing w:after="80" w:line="240" w:lineRule="auto"/>
            </w:pPr>
            <w:r>
              <w:t>Units remain flat while transaction revenue falls; align promotions with stronger demand periods.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</w:tblGrid>
            <w:tr>
              <w:tc>
                <w:tcPr>
                  <w:tcW w:type="dxa" w:w="4536"/>
                  <w:shd w:fill="F4F6F8"/>
                  <w:tcBorders>
                    <w:top w:val="single" w:sz="5" w:color="D6DEE6"/>
                    <w:left w:val="single" w:sz="5" w:color="D6DEE6"/>
                    <w:bottom w:val="single" w:sz="5" w:color="D6DEE6"/>
                    <w:right w:val="single" w:sz="5" w:color="D6DEE6"/>
                  </w:tcBorders>
                  <w:tcMar>
                    <w:top w:w="70" w:type="dxa"/>
                    <w:start w:w="90" w:type="dxa"/>
                    <w:bottom w:w="65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color w:val="163A5F"/>
                      <w:sz w:val="16"/>
                    </w:rPr>
                    <w:t>LIMITATION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sz w:val="14"/>
                    </w:rPr>
                    <w:t>Revenue-only data cannot establish true profitability. Request category-level COGS and supplier rebate data before a final profitability decision.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spacing w:before="0" w:after="40"/>
      </w:pPr>
      <w:r>
        <w:rPr>
          <w:b/>
          <w:color w:val="163A5F"/>
          <w:sz w:val="17"/>
        </w:rPr>
        <w:t>TEAM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EAF2F8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tcMar>
              <w:top w:w="55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A5F"/>
                <w:sz w:val="14"/>
              </w:rPr>
              <w:t>NAISHADH</w:t>
            </w:r>
          </w:p>
          <w:p>
            <w:pPr>
              <w:spacing w:after="0"/>
            </w:pPr>
            <w:r>
              <w:rPr>
                <w:b/>
                <w:color w:val="2F6B9A"/>
                <w:sz w:val="13"/>
              </w:rPr>
              <w:t>STEP 1</w:t>
            </w:r>
          </w:p>
          <w:p>
            <w:pPr>
              <w:spacing w:after="0" w:line="240" w:lineRule="auto"/>
            </w:pPr>
            <w:r>
              <w:rPr>
                <w:color w:val="263238"/>
                <w:sz w:val="13"/>
              </w:rPr>
              <w:t>Data loading, inspection &amp; SSOT</w:t>
            </w:r>
          </w:p>
        </w:tc>
        <w:tc>
          <w:tcPr>
            <w:tcW w:type="dxa" w:w="2714"/>
            <w:shd w:fill="F4F6F8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tcMar>
              <w:top w:w="55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A5F"/>
                <w:sz w:val="14"/>
              </w:rPr>
              <w:t>ADISESHU</w:t>
            </w:r>
          </w:p>
          <w:p>
            <w:pPr>
              <w:spacing w:after="0"/>
            </w:pPr>
            <w:r>
              <w:rPr>
                <w:b/>
                <w:color w:val="2F6B9A"/>
                <w:sz w:val="13"/>
              </w:rPr>
              <w:t>STEPS 2–3</w:t>
            </w:r>
          </w:p>
          <w:p>
            <w:pPr>
              <w:spacing w:after="0" w:line="240" w:lineRule="auto"/>
            </w:pPr>
            <w:r>
              <w:rPr>
                <w:color w:val="263238"/>
                <w:sz w:val="13"/>
              </w:rPr>
              <w:t>Category trend &amp; products</w:t>
            </w:r>
          </w:p>
        </w:tc>
        <w:tc>
          <w:tcPr>
            <w:tcW w:type="dxa" w:w="2714"/>
            <w:shd w:fill="EAF2F8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tcMar>
              <w:top w:w="55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A5F"/>
                <w:sz w:val="14"/>
              </w:rPr>
              <w:t>SUSHMITHA</w:t>
            </w:r>
          </w:p>
          <w:p>
            <w:pPr>
              <w:spacing w:after="0"/>
            </w:pPr>
            <w:r>
              <w:rPr>
                <w:b/>
                <w:color w:val="2F6B9A"/>
                <w:sz w:val="13"/>
              </w:rPr>
              <w:t>STEPS 4–5</w:t>
            </w:r>
          </w:p>
          <w:p>
            <w:pPr>
              <w:spacing w:after="0" w:line="240" w:lineRule="auto"/>
            </w:pPr>
            <w:r>
              <w:rPr>
                <w:color w:val="263238"/>
                <w:sz w:val="13"/>
              </w:rPr>
              <w:t>Discount &amp; time patterns</w:t>
            </w:r>
          </w:p>
        </w:tc>
        <w:tc>
          <w:tcPr>
            <w:tcW w:type="dxa" w:w="2714"/>
            <w:shd w:fill="F4F6F8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tcMar>
              <w:top w:w="55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A5F"/>
                <w:sz w:val="14"/>
              </w:rPr>
              <w:t>NAKUL SRIRAJ</w:t>
            </w:r>
          </w:p>
          <w:p>
            <w:pPr>
              <w:spacing w:after="0"/>
            </w:pPr>
            <w:r>
              <w:rPr>
                <w:b/>
                <w:color w:val="2F6B9A"/>
                <w:sz w:val="13"/>
              </w:rPr>
              <w:t>STEP 6</w:t>
            </w:r>
          </w:p>
          <w:p>
            <w:pPr>
              <w:spacing w:after="0" w:line="240" w:lineRule="auto"/>
            </w:pPr>
            <w:r>
              <w:rPr>
                <w:color w:val="263238"/>
                <w:sz w:val="13"/>
              </w:rPr>
              <w:t>Manager briefing &amp; reporting</w:t>
            </w:r>
          </w:p>
        </w:tc>
      </w:tr>
    </w:tbl>
    <w:p>
      <w:pPr>
        <w:spacing w:before="40" w:after="0"/>
        <w:jc w:val="right"/>
      </w:pPr>
      <w:r>
        <w:rPr>
          <w:color w:val="66737F"/>
          <w:sz w:val="13"/>
        </w:rPr>
        <w:t>MUC01  •  12 stores  •  5 categories  •  25 products</w:t>
      </w:r>
    </w:p>
    <w:sectPr w:rsidR="00FC693F" w:rsidRPr="0006063C" w:rsidSect="00034616">
      <w:pgSz w:w="12240" w:h="15840"/>
      <w:pgMar w:top="547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