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B8D5A" w14:textId="77777777" w:rsidR="00AC6B4A" w:rsidRDefault="007F2AA9" w:rsidP="002F11A4">
      <w:pPr>
        <w:spacing w:after="40" w:line="360" w:lineRule="auto"/>
      </w:pPr>
      <w:r>
        <w:rPr>
          <w:rFonts w:ascii="Aptos Display" w:hAnsi="Aptos Display"/>
          <w:b/>
          <w:sz w:val="36"/>
        </w:rPr>
        <w:t>Individual Contribution Report</w:t>
      </w:r>
    </w:p>
    <w:p w14:paraId="2C7A9A53" w14:textId="0DF3EC83" w:rsidR="00AC6B4A" w:rsidRDefault="007F2AA9" w:rsidP="002F11A4">
      <w:pPr>
        <w:spacing w:after="40" w:line="360" w:lineRule="auto"/>
      </w:pPr>
      <w:r>
        <w:rPr>
          <w:b/>
          <w:sz w:val="21"/>
        </w:rPr>
        <w:t>Adi</w:t>
      </w:r>
      <w:r w:rsidR="002F11A4">
        <w:rPr>
          <w:b/>
          <w:sz w:val="21"/>
        </w:rPr>
        <w:t>s</w:t>
      </w:r>
      <w:r>
        <w:rPr>
          <w:b/>
          <w:sz w:val="21"/>
        </w:rPr>
        <w:t>eshu · Category Trend &amp; Product-Level Analysis</w:t>
      </w:r>
    </w:p>
    <w:p w14:paraId="767F39D1" w14:textId="77777777" w:rsidR="00AC6B4A" w:rsidRDefault="007F2AA9" w:rsidP="002F11A4">
      <w:pPr>
        <w:spacing w:after="40" w:line="360" w:lineRule="auto"/>
      </w:pPr>
      <w:r>
        <w:rPr>
          <w:i/>
          <w:sz w:val="17"/>
        </w:rPr>
        <w:t>Calibo AI Academy · KLU Batch 16 · MUC01 Category Intelligence</w:t>
      </w:r>
    </w:p>
    <w:p w14:paraId="09D9F4B3" w14:textId="77777777" w:rsidR="00AC6B4A" w:rsidRDefault="00AC6B4A" w:rsidP="002F11A4">
      <w:pPr>
        <w:pBdr>
          <w:bottom w:val="single" w:sz="12" w:space="1" w:color="274A78"/>
        </w:pBdr>
        <w:spacing w:after="40" w:line="360" w:lineRule="auto"/>
      </w:pPr>
    </w:p>
    <w:tbl>
      <w:tblPr>
        <w:tblW w:w="0" w:type="auto"/>
        <w:jc w:val="center"/>
        <w:tblLook w:val="04A0" w:firstRow="1" w:lastRow="0" w:firstColumn="1" w:lastColumn="0" w:noHBand="0" w:noVBand="1"/>
      </w:tblPr>
      <w:tblGrid>
        <w:gridCol w:w="5323"/>
        <w:gridCol w:w="5323"/>
      </w:tblGrid>
      <w:tr w:rsidR="00AC6B4A" w14:paraId="0C257F42" w14:textId="77777777">
        <w:trPr>
          <w:jc w:val="center"/>
        </w:trPr>
        <w:tc>
          <w:tcPr>
            <w:tcW w:w="5328" w:type="dxa"/>
            <w:tcBorders>
              <w:top w:val="single" w:sz="4" w:space="0" w:color="B7C3D0"/>
              <w:left w:val="single" w:sz="4" w:space="0" w:color="B7C3D0"/>
              <w:bottom w:val="single" w:sz="4" w:space="0" w:color="B7C3D0"/>
              <w:right w:val="single" w:sz="4" w:space="0" w:color="B7C3D0"/>
            </w:tcBorders>
            <w:shd w:val="clear" w:color="auto" w:fill="E8EEF6"/>
            <w:vAlign w:val="center"/>
          </w:tcPr>
          <w:p w14:paraId="098D2E8E" w14:textId="77777777" w:rsidR="00AC6B4A" w:rsidRDefault="007F2AA9" w:rsidP="002F11A4">
            <w:pPr>
              <w:spacing w:after="20" w:line="360" w:lineRule="auto"/>
            </w:pPr>
            <w:r>
              <w:rPr>
                <w:rFonts w:ascii="Aptos" w:hAnsi="Aptos"/>
                <w:b/>
                <w:sz w:val="17"/>
              </w:rPr>
              <w:t>Project Title</w:t>
            </w:r>
          </w:p>
        </w:tc>
        <w:tc>
          <w:tcPr>
            <w:tcW w:w="5328" w:type="dxa"/>
            <w:tcBorders>
              <w:top w:val="single" w:sz="4" w:space="0" w:color="B7C3D0"/>
              <w:left w:val="single" w:sz="4" w:space="0" w:color="B7C3D0"/>
              <w:bottom w:val="single" w:sz="4" w:space="0" w:color="B7C3D0"/>
              <w:right w:val="single" w:sz="4" w:space="0" w:color="B7C3D0"/>
            </w:tcBorders>
            <w:vAlign w:val="center"/>
          </w:tcPr>
          <w:p w14:paraId="083FA18E" w14:textId="77777777" w:rsidR="00AC6B4A" w:rsidRDefault="007F2AA9" w:rsidP="002F11A4">
            <w:pPr>
              <w:spacing w:after="20" w:line="360" w:lineRule="auto"/>
            </w:pPr>
            <w:r>
              <w:rPr>
                <w:rFonts w:ascii="Aptos" w:hAnsi="Aptos"/>
                <w:sz w:val="17"/>
              </w:rPr>
              <w:t>Category Intelligence – Retail Product Performance EDA</w:t>
            </w:r>
          </w:p>
        </w:tc>
      </w:tr>
      <w:tr w:rsidR="00AC6B4A" w14:paraId="4A832761" w14:textId="77777777">
        <w:trPr>
          <w:jc w:val="center"/>
        </w:trPr>
        <w:tc>
          <w:tcPr>
            <w:tcW w:w="5328" w:type="dxa"/>
            <w:tcBorders>
              <w:top w:val="single" w:sz="4" w:space="0" w:color="B7C3D0"/>
              <w:left w:val="single" w:sz="4" w:space="0" w:color="B7C3D0"/>
              <w:bottom w:val="single" w:sz="4" w:space="0" w:color="B7C3D0"/>
              <w:right w:val="single" w:sz="4" w:space="0" w:color="B7C3D0"/>
            </w:tcBorders>
            <w:shd w:val="clear" w:color="auto" w:fill="E8EEF6"/>
            <w:vAlign w:val="center"/>
          </w:tcPr>
          <w:p w14:paraId="158FC312" w14:textId="77777777" w:rsidR="00AC6B4A" w:rsidRDefault="007F2AA9" w:rsidP="002F11A4">
            <w:pPr>
              <w:spacing w:after="20" w:line="360" w:lineRule="auto"/>
            </w:pPr>
            <w:r>
              <w:rPr>
                <w:rFonts w:ascii="Aptos" w:hAnsi="Aptos"/>
                <w:b/>
                <w:sz w:val="17"/>
              </w:rPr>
              <w:t>Student Name</w:t>
            </w:r>
          </w:p>
        </w:tc>
        <w:tc>
          <w:tcPr>
            <w:tcW w:w="5328" w:type="dxa"/>
            <w:tcBorders>
              <w:top w:val="single" w:sz="4" w:space="0" w:color="B7C3D0"/>
              <w:left w:val="single" w:sz="4" w:space="0" w:color="B7C3D0"/>
              <w:bottom w:val="single" w:sz="4" w:space="0" w:color="B7C3D0"/>
              <w:right w:val="single" w:sz="4" w:space="0" w:color="B7C3D0"/>
            </w:tcBorders>
            <w:vAlign w:val="center"/>
          </w:tcPr>
          <w:p w14:paraId="473B56F1" w14:textId="77777777" w:rsidR="00AC6B4A" w:rsidRDefault="007F2AA9" w:rsidP="002F11A4">
            <w:pPr>
              <w:spacing w:after="20" w:line="360" w:lineRule="auto"/>
            </w:pPr>
            <w:r>
              <w:rPr>
                <w:rFonts w:ascii="Aptos" w:hAnsi="Aptos"/>
                <w:sz w:val="17"/>
              </w:rPr>
              <w:t>Jeenepally Adiseshu</w:t>
            </w:r>
          </w:p>
        </w:tc>
      </w:tr>
      <w:tr w:rsidR="00AC6B4A" w14:paraId="1520D0A4" w14:textId="77777777">
        <w:trPr>
          <w:jc w:val="center"/>
        </w:trPr>
        <w:tc>
          <w:tcPr>
            <w:tcW w:w="5328" w:type="dxa"/>
            <w:tcBorders>
              <w:top w:val="single" w:sz="4" w:space="0" w:color="B7C3D0"/>
              <w:left w:val="single" w:sz="4" w:space="0" w:color="B7C3D0"/>
              <w:bottom w:val="single" w:sz="4" w:space="0" w:color="B7C3D0"/>
              <w:right w:val="single" w:sz="4" w:space="0" w:color="B7C3D0"/>
            </w:tcBorders>
            <w:shd w:val="clear" w:color="auto" w:fill="E8EEF6"/>
            <w:vAlign w:val="center"/>
          </w:tcPr>
          <w:p w14:paraId="248A8730" w14:textId="77777777" w:rsidR="00AC6B4A" w:rsidRDefault="007F2AA9" w:rsidP="002F11A4">
            <w:pPr>
              <w:spacing w:after="20" w:line="360" w:lineRule="auto"/>
            </w:pPr>
            <w:r>
              <w:rPr>
                <w:rFonts w:ascii="Aptos" w:hAnsi="Aptos"/>
                <w:b/>
                <w:sz w:val="17"/>
              </w:rPr>
              <w:t>Dataset</w:t>
            </w:r>
          </w:p>
        </w:tc>
        <w:tc>
          <w:tcPr>
            <w:tcW w:w="5328" w:type="dxa"/>
            <w:tcBorders>
              <w:top w:val="single" w:sz="4" w:space="0" w:color="B7C3D0"/>
              <w:left w:val="single" w:sz="4" w:space="0" w:color="B7C3D0"/>
              <w:bottom w:val="single" w:sz="4" w:space="0" w:color="B7C3D0"/>
              <w:right w:val="single" w:sz="4" w:space="0" w:color="B7C3D0"/>
            </w:tcBorders>
            <w:vAlign w:val="center"/>
          </w:tcPr>
          <w:p w14:paraId="7170F2D5" w14:textId="77777777" w:rsidR="00AC6B4A" w:rsidRDefault="007F2AA9" w:rsidP="002F11A4">
            <w:pPr>
              <w:spacing w:after="20" w:line="360" w:lineRule="auto"/>
            </w:pPr>
            <w:r>
              <w:rPr>
                <w:rFonts w:ascii="Aptos" w:hAnsi="Aptos"/>
                <w:sz w:val="17"/>
              </w:rPr>
              <w:t>Retail Sales Dataset</w:t>
            </w:r>
          </w:p>
        </w:tc>
      </w:tr>
      <w:tr w:rsidR="00AC6B4A" w14:paraId="01168C06" w14:textId="77777777">
        <w:trPr>
          <w:jc w:val="center"/>
        </w:trPr>
        <w:tc>
          <w:tcPr>
            <w:tcW w:w="5328" w:type="dxa"/>
            <w:tcBorders>
              <w:top w:val="single" w:sz="4" w:space="0" w:color="B7C3D0"/>
              <w:left w:val="single" w:sz="4" w:space="0" w:color="B7C3D0"/>
              <w:bottom w:val="single" w:sz="4" w:space="0" w:color="B7C3D0"/>
              <w:right w:val="single" w:sz="4" w:space="0" w:color="B7C3D0"/>
            </w:tcBorders>
            <w:shd w:val="clear" w:color="auto" w:fill="E8EEF6"/>
            <w:vAlign w:val="center"/>
          </w:tcPr>
          <w:p w14:paraId="26F0CF6A" w14:textId="77777777" w:rsidR="00AC6B4A" w:rsidRDefault="007F2AA9" w:rsidP="002F11A4">
            <w:pPr>
              <w:spacing w:after="20" w:line="360" w:lineRule="auto"/>
            </w:pPr>
            <w:r>
              <w:rPr>
                <w:rFonts w:ascii="Aptos" w:hAnsi="Aptos"/>
                <w:b/>
                <w:sz w:val="17"/>
              </w:rPr>
              <w:t>Individual Role</w:t>
            </w:r>
          </w:p>
        </w:tc>
        <w:tc>
          <w:tcPr>
            <w:tcW w:w="5328" w:type="dxa"/>
            <w:tcBorders>
              <w:top w:val="single" w:sz="4" w:space="0" w:color="B7C3D0"/>
              <w:left w:val="single" w:sz="4" w:space="0" w:color="B7C3D0"/>
              <w:bottom w:val="single" w:sz="4" w:space="0" w:color="B7C3D0"/>
              <w:right w:val="single" w:sz="4" w:space="0" w:color="B7C3D0"/>
            </w:tcBorders>
            <w:vAlign w:val="center"/>
          </w:tcPr>
          <w:p w14:paraId="7F51D2F2" w14:textId="77777777" w:rsidR="00AC6B4A" w:rsidRDefault="007F2AA9" w:rsidP="002F11A4">
            <w:pPr>
              <w:spacing w:after="20" w:line="360" w:lineRule="auto"/>
            </w:pPr>
            <w:r>
              <w:rPr>
                <w:rFonts w:ascii="Aptos" w:hAnsi="Aptos"/>
                <w:sz w:val="17"/>
              </w:rPr>
              <w:t>Category and Product Performance Analyst</w:t>
            </w:r>
          </w:p>
        </w:tc>
      </w:tr>
    </w:tbl>
    <w:p w14:paraId="59066A44" w14:textId="77777777" w:rsidR="00AC6B4A" w:rsidRDefault="007F2AA9" w:rsidP="002F11A4">
      <w:pPr>
        <w:spacing w:after="40" w:line="360" w:lineRule="auto"/>
      </w:pPr>
      <w:r>
        <w:rPr>
          <w:rFonts w:ascii="Aptos Display" w:hAnsi="Aptos Display"/>
          <w:b/>
          <w:sz w:val="23"/>
        </w:rPr>
        <w:t>My Contribution</w:t>
      </w:r>
    </w:p>
    <w:p w14:paraId="6627935C" w14:textId="32AE4C51" w:rsidR="00AC6B4A" w:rsidRDefault="007F2AA9" w:rsidP="002F11A4">
      <w:pPr>
        <w:spacing w:after="40" w:line="360" w:lineRule="auto"/>
      </w:pPr>
      <w:r>
        <w:t>I owned  Category Revenue Trend, and Top &amp; Bottom Products. For Step 2, I grouped revenue by month and category and compared the first and last months to identify growth and decline. For Step 3, I ranked products within each category by total revenue and compared the highest and lowest performers. The goal was to check whether there was a clearly weak product that could be removed, or whether the stronger signal was at category level.</w:t>
      </w:r>
    </w:p>
    <w:p w14:paraId="174D21DE" w14:textId="77777777" w:rsidR="00AC6B4A" w:rsidRDefault="007F2AA9" w:rsidP="002F11A4">
      <w:pPr>
        <w:spacing w:after="40" w:line="360" w:lineRule="auto"/>
      </w:pPr>
      <w:r>
        <w:rPr>
          <w:rFonts w:ascii="Aptos Display" w:hAnsi="Aptos Display"/>
          <w:b/>
          <w:sz w:val="23"/>
        </w:rPr>
        <w:t>Findings</w:t>
      </w:r>
    </w:p>
    <w:tbl>
      <w:tblPr>
        <w:tblW w:w="0" w:type="auto"/>
        <w:jc w:val="center"/>
        <w:tblLook w:val="04A0" w:firstRow="1" w:lastRow="0" w:firstColumn="1" w:lastColumn="0" w:noHBand="0" w:noVBand="1"/>
      </w:tblPr>
      <w:tblGrid>
        <w:gridCol w:w="3552"/>
        <w:gridCol w:w="3552"/>
        <w:gridCol w:w="3552"/>
      </w:tblGrid>
      <w:tr w:rsidR="00AC6B4A" w14:paraId="7F23A5A1" w14:textId="77777777">
        <w:trPr>
          <w:jc w:val="center"/>
        </w:trPr>
        <w:tc>
          <w:tcPr>
            <w:tcW w:w="3552" w:type="dxa"/>
            <w:shd w:val="clear" w:color="auto" w:fill="274A78"/>
          </w:tcPr>
          <w:p w14:paraId="0518F547" w14:textId="77777777" w:rsidR="00AC6B4A" w:rsidRDefault="007F2AA9" w:rsidP="002F11A4">
            <w:pPr>
              <w:spacing w:after="20" w:line="360" w:lineRule="auto"/>
            </w:pPr>
            <w:r>
              <w:rPr>
                <w:sz w:val="17"/>
              </w:rPr>
              <w:t>Item</w:t>
            </w:r>
          </w:p>
        </w:tc>
        <w:tc>
          <w:tcPr>
            <w:tcW w:w="3552" w:type="dxa"/>
            <w:shd w:val="clear" w:color="auto" w:fill="274A78"/>
          </w:tcPr>
          <w:p w14:paraId="29865E0A" w14:textId="77777777" w:rsidR="00AC6B4A" w:rsidRDefault="007F2AA9" w:rsidP="002F11A4">
            <w:pPr>
              <w:spacing w:after="20" w:line="360" w:lineRule="auto"/>
            </w:pPr>
            <w:r>
              <w:rPr>
                <w:sz w:val="17"/>
              </w:rPr>
              <w:t>Figure</w:t>
            </w:r>
          </w:p>
        </w:tc>
        <w:tc>
          <w:tcPr>
            <w:tcW w:w="3552" w:type="dxa"/>
            <w:shd w:val="clear" w:color="auto" w:fill="274A78"/>
          </w:tcPr>
          <w:p w14:paraId="22D276C8" w14:textId="77777777" w:rsidR="00AC6B4A" w:rsidRDefault="007F2AA9" w:rsidP="002F11A4">
            <w:pPr>
              <w:spacing w:after="20" w:line="360" w:lineRule="auto"/>
            </w:pPr>
            <w:r>
              <w:rPr>
                <w:sz w:val="17"/>
              </w:rPr>
              <w:t>What it shows</w:t>
            </w:r>
          </w:p>
        </w:tc>
      </w:tr>
      <w:tr w:rsidR="00AC6B4A" w14:paraId="2D06ECC5" w14:textId="77777777">
        <w:trPr>
          <w:jc w:val="center"/>
        </w:trPr>
        <w:tc>
          <w:tcPr>
            <w:tcW w:w="3552" w:type="dxa"/>
            <w:vAlign w:val="center"/>
          </w:tcPr>
          <w:p w14:paraId="1595FC90" w14:textId="77777777" w:rsidR="00AC6B4A" w:rsidRDefault="007F2AA9" w:rsidP="002F11A4">
            <w:pPr>
              <w:spacing w:after="20" w:line="360" w:lineRule="auto"/>
            </w:pPr>
            <w:r>
              <w:rPr>
                <w:sz w:val="17"/>
              </w:rPr>
              <w:t>Electronics</w:t>
            </w:r>
          </w:p>
        </w:tc>
        <w:tc>
          <w:tcPr>
            <w:tcW w:w="3552" w:type="dxa"/>
            <w:vAlign w:val="center"/>
          </w:tcPr>
          <w:p w14:paraId="3606E985" w14:textId="77777777" w:rsidR="00AC6B4A" w:rsidRDefault="007F2AA9" w:rsidP="002F11A4">
            <w:pPr>
              <w:spacing w:after="20" w:line="360" w:lineRule="auto"/>
            </w:pPr>
            <w:r>
              <w:rPr>
                <w:sz w:val="17"/>
              </w:rPr>
              <w:t>₹45.7M → ₹29.7M</w:t>
            </w:r>
          </w:p>
        </w:tc>
        <w:tc>
          <w:tcPr>
            <w:tcW w:w="3552" w:type="dxa"/>
            <w:vAlign w:val="center"/>
          </w:tcPr>
          <w:p w14:paraId="4239588D" w14:textId="77777777" w:rsidR="00AC6B4A" w:rsidRDefault="007F2AA9" w:rsidP="002F11A4">
            <w:pPr>
              <w:spacing w:after="20" w:line="360" w:lineRule="auto"/>
            </w:pPr>
            <w:r>
              <w:rPr>
                <w:sz w:val="17"/>
              </w:rPr>
              <w:t>−35.0%; largest category and steepest decline</w:t>
            </w:r>
          </w:p>
        </w:tc>
      </w:tr>
      <w:tr w:rsidR="00AC6B4A" w14:paraId="6C0863A2" w14:textId="77777777">
        <w:trPr>
          <w:jc w:val="center"/>
        </w:trPr>
        <w:tc>
          <w:tcPr>
            <w:tcW w:w="3552" w:type="dxa"/>
            <w:vAlign w:val="center"/>
          </w:tcPr>
          <w:p w14:paraId="7DB60958" w14:textId="77777777" w:rsidR="00AC6B4A" w:rsidRDefault="007F2AA9" w:rsidP="002F11A4">
            <w:pPr>
              <w:spacing w:after="20" w:line="360" w:lineRule="auto"/>
            </w:pPr>
            <w:r>
              <w:rPr>
                <w:sz w:val="17"/>
              </w:rPr>
              <w:t>Apparel</w:t>
            </w:r>
          </w:p>
        </w:tc>
        <w:tc>
          <w:tcPr>
            <w:tcW w:w="3552" w:type="dxa"/>
            <w:vAlign w:val="center"/>
          </w:tcPr>
          <w:p w14:paraId="4B91759F" w14:textId="77777777" w:rsidR="00AC6B4A" w:rsidRDefault="007F2AA9" w:rsidP="002F11A4">
            <w:pPr>
              <w:spacing w:after="20" w:line="360" w:lineRule="auto"/>
            </w:pPr>
            <w:r>
              <w:rPr>
                <w:sz w:val="17"/>
              </w:rPr>
              <w:t>₹10.0M → ₹13.5M</w:t>
            </w:r>
          </w:p>
        </w:tc>
        <w:tc>
          <w:tcPr>
            <w:tcW w:w="3552" w:type="dxa"/>
            <w:vAlign w:val="center"/>
          </w:tcPr>
          <w:p w14:paraId="265A29F5" w14:textId="77777777" w:rsidR="00AC6B4A" w:rsidRDefault="007F2AA9" w:rsidP="002F11A4">
            <w:pPr>
              <w:spacing w:after="20" w:line="360" w:lineRule="auto"/>
            </w:pPr>
            <w:r>
              <w:rPr>
                <w:sz w:val="17"/>
              </w:rPr>
              <w:t>+34.1%; only category with sustained growth</w:t>
            </w:r>
          </w:p>
        </w:tc>
      </w:tr>
      <w:tr w:rsidR="00AC6B4A" w14:paraId="45406744" w14:textId="77777777">
        <w:trPr>
          <w:jc w:val="center"/>
        </w:trPr>
        <w:tc>
          <w:tcPr>
            <w:tcW w:w="3552" w:type="dxa"/>
            <w:vAlign w:val="center"/>
          </w:tcPr>
          <w:p w14:paraId="18E33092" w14:textId="77777777" w:rsidR="00AC6B4A" w:rsidRDefault="007F2AA9" w:rsidP="002F11A4">
            <w:pPr>
              <w:spacing w:after="20" w:line="360" w:lineRule="auto"/>
            </w:pPr>
            <w:r>
              <w:rPr>
                <w:sz w:val="17"/>
              </w:rPr>
              <w:t>Home &amp; Kitchen</w:t>
            </w:r>
          </w:p>
        </w:tc>
        <w:tc>
          <w:tcPr>
            <w:tcW w:w="3552" w:type="dxa"/>
            <w:vAlign w:val="center"/>
          </w:tcPr>
          <w:p w14:paraId="5ECB081C" w14:textId="77777777" w:rsidR="00AC6B4A" w:rsidRDefault="007F2AA9" w:rsidP="002F11A4">
            <w:pPr>
              <w:spacing w:after="20" w:line="360" w:lineRule="auto"/>
            </w:pPr>
            <w:r>
              <w:rPr>
                <w:sz w:val="17"/>
              </w:rPr>
              <w:t>−18.5%</w:t>
            </w:r>
          </w:p>
        </w:tc>
        <w:tc>
          <w:tcPr>
            <w:tcW w:w="3552" w:type="dxa"/>
            <w:vAlign w:val="center"/>
          </w:tcPr>
          <w:p w14:paraId="2E03076B" w14:textId="77777777" w:rsidR="00AC6B4A" w:rsidRDefault="007F2AA9" w:rsidP="002F11A4">
            <w:pPr>
              <w:spacing w:after="20" w:line="360" w:lineRule="auto"/>
            </w:pPr>
            <w:r>
              <w:rPr>
                <w:sz w:val="17"/>
              </w:rPr>
              <w:t>Secondary decline</w:t>
            </w:r>
          </w:p>
        </w:tc>
      </w:tr>
      <w:tr w:rsidR="00AC6B4A" w14:paraId="7DC9C08C" w14:textId="77777777">
        <w:trPr>
          <w:jc w:val="center"/>
        </w:trPr>
        <w:tc>
          <w:tcPr>
            <w:tcW w:w="3552" w:type="dxa"/>
            <w:vAlign w:val="center"/>
          </w:tcPr>
          <w:p w14:paraId="52C67BE9" w14:textId="77777777" w:rsidR="00AC6B4A" w:rsidRDefault="007F2AA9" w:rsidP="002F11A4">
            <w:pPr>
              <w:spacing w:after="20" w:line="360" w:lineRule="auto"/>
            </w:pPr>
            <w:r>
              <w:rPr>
                <w:sz w:val="17"/>
              </w:rPr>
              <w:t>Grocery / Personal Care</w:t>
            </w:r>
          </w:p>
        </w:tc>
        <w:tc>
          <w:tcPr>
            <w:tcW w:w="3552" w:type="dxa"/>
            <w:vAlign w:val="center"/>
          </w:tcPr>
          <w:p w14:paraId="238C7C2D" w14:textId="77777777" w:rsidR="00AC6B4A" w:rsidRDefault="007F2AA9" w:rsidP="002F11A4">
            <w:pPr>
              <w:spacing w:after="20" w:line="360" w:lineRule="auto"/>
            </w:pPr>
            <w:r>
              <w:rPr>
                <w:sz w:val="17"/>
              </w:rPr>
              <w:t>−3.5% / +2.2%</w:t>
            </w:r>
          </w:p>
        </w:tc>
        <w:tc>
          <w:tcPr>
            <w:tcW w:w="3552" w:type="dxa"/>
            <w:vAlign w:val="center"/>
          </w:tcPr>
          <w:p w14:paraId="5F849EB7" w14:textId="77777777" w:rsidR="00AC6B4A" w:rsidRDefault="007F2AA9" w:rsidP="002F11A4">
            <w:pPr>
              <w:spacing w:after="20" w:line="360" w:lineRule="auto"/>
            </w:pPr>
            <w:r>
              <w:rPr>
                <w:sz w:val="17"/>
              </w:rPr>
              <w:t>Almost flat</w:t>
            </w:r>
          </w:p>
        </w:tc>
      </w:tr>
      <w:tr w:rsidR="00AC6B4A" w14:paraId="5732216C" w14:textId="77777777">
        <w:trPr>
          <w:jc w:val="center"/>
        </w:trPr>
        <w:tc>
          <w:tcPr>
            <w:tcW w:w="3552" w:type="dxa"/>
            <w:vAlign w:val="center"/>
          </w:tcPr>
          <w:p w14:paraId="3FECB48B" w14:textId="77777777" w:rsidR="00AC6B4A" w:rsidRDefault="007F2AA9" w:rsidP="002F11A4">
            <w:pPr>
              <w:spacing w:after="20" w:line="360" w:lineRule="auto"/>
            </w:pPr>
            <w:r>
              <w:rPr>
                <w:sz w:val="17"/>
              </w:rPr>
              <w:t>Electronics products</w:t>
            </w:r>
          </w:p>
        </w:tc>
        <w:tc>
          <w:tcPr>
            <w:tcW w:w="3552" w:type="dxa"/>
            <w:vAlign w:val="center"/>
          </w:tcPr>
          <w:p w14:paraId="76D711BC" w14:textId="77777777" w:rsidR="00AC6B4A" w:rsidRDefault="007F2AA9" w:rsidP="002F11A4">
            <w:pPr>
              <w:spacing w:after="20" w:line="360" w:lineRule="auto"/>
            </w:pPr>
            <w:r>
              <w:rPr>
                <w:sz w:val="17"/>
              </w:rPr>
              <w:t>13.9% gap</w:t>
            </w:r>
          </w:p>
        </w:tc>
        <w:tc>
          <w:tcPr>
            <w:tcW w:w="3552" w:type="dxa"/>
            <w:vAlign w:val="center"/>
          </w:tcPr>
          <w:p w14:paraId="33D03FF3" w14:textId="77777777" w:rsidR="00AC6B4A" w:rsidRDefault="007F2AA9" w:rsidP="002F11A4">
            <w:pPr>
              <w:spacing w:after="20" w:line="360" w:lineRule="auto"/>
            </w:pPr>
            <w:r>
              <w:rPr>
                <w:sz w:val="17"/>
              </w:rPr>
              <w:t>Headphones vs Smart TV; relatively narrow</w:t>
            </w:r>
          </w:p>
        </w:tc>
      </w:tr>
      <w:tr w:rsidR="00AC6B4A" w14:paraId="49036025" w14:textId="77777777">
        <w:trPr>
          <w:jc w:val="center"/>
        </w:trPr>
        <w:tc>
          <w:tcPr>
            <w:tcW w:w="3552" w:type="dxa"/>
            <w:vAlign w:val="center"/>
          </w:tcPr>
          <w:p w14:paraId="39390566" w14:textId="77777777" w:rsidR="00AC6B4A" w:rsidRDefault="007F2AA9" w:rsidP="002F11A4">
            <w:pPr>
              <w:spacing w:after="20" w:line="360" w:lineRule="auto"/>
            </w:pPr>
            <w:r>
              <w:rPr>
                <w:sz w:val="17"/>
              </w:rPr>
              <w:t>Apparel / Grocery products</w:t>
            </w:r>
          </w:p>
        </w:tc>
        <w:tc>
          <w:tcPr>
            <w:tcW w:w="3552" w:type="dxa"/>
            <w:vAlign w:val="center"/>
          </w:tcPr>
          <w:p w14:paraId="5B90F9BD" w14:textId="77777777" w:rsidR="00AC6B4A" w:rsidRDefault="007F2AA9" w:rsidP="002F11A4">
            <w:pPr>
              <w:spacing w:after="20" w:line="360" w:lineRule="auto"/>
            </w:pPr>
            <w:r>
              <w:rPr>
                <w:sz w:val="17"/>
              </w:rPr>
              <w:t>4.1% / 2.2% gap</w:t>
            </w:r>
          </w:p>
        </w:tc>
        <w:tc>
          <w:tcPr>
            <w:tcW w:w="3552" w:type="dxa"/>
            <w:vAlign w:val="center"/>
          </w:tcPr>
          <w:p w14:paraId="63C99FC6" w14:textId="77777777" w:rsidR="00AC6B4A" w:rsidRDefault="007F2AA9" w:rsidP="002F11A4">
            <w:pPr>
              <w:spacing w:after="20" w:line="360" w:lineRule="auto"/>
            </w:pPr>
            <w:r>
              <w:rPr>
                <w:sz w:val="17"/>
              </w:rPr>
              <w:t>Very small differences</w:t>
            </w:r>
          </w:p>
        </w:tc>
      </w:tr>
    </w:tbl>
    <w:p w14:paraId="218C56E4" w14:textId="77777777" w:rsidR="00AC6B4A" w:rsidRDefault="007F2AA9" w:rsidP="002F11A4">
      <w:pPr>
        <w:spacing w:after="40" w:line="360" w:lineRule="auto"/>
      </w:pPr>
      <w:r>
        <w:rPr>
          <w:b/>
          <w:sz w:val="24"/>
        </w:rPr>
        <w:t>Interpretation &amp; Theory</w:t>
      </w:r>
    </w:p>
    <w:tbl>
      <w:tblPr>
        <w:tblW w:w="0" w:type="auto"/>
        <w:tblLook w:val="04A0" w:firstRow="1" w:lastRow="0" w:firstColumn="1" w:lastColumn="0" w:noHBand="0" w:noVBand="1"/>
      </w:tblPr>
      <w:tblGrid>
        <w:gridCol w:w="10633"/>
      </w:tblGrid>
      <w:tr w:rsidR="00AC6B4A" w14:paraId="0F784EB7" w14:textId="77777777">
        <w:tc>
          <w:tcPr>
            <w:tcW w:w="10656" w:type="dxa"/>
            <w:tcBorders>
              <w:top w:val="single" w:sz="4" w:space="0" w:color="B7C3D0"/>
              <w:left w:val="single" w:sz="14" w:space="0" w:color="274A78"/>
              <w:bottom w:val="single" w:sz="4" w:space="0" w:color="B7C3D0"/>
              <w:right w:val="single" w:sz="4" w:space="0" w:color="B7C3D0"/>
            </w:tcBorders>
            <w:shd w:val="clear" w:color="auto" w:fill="EAF1F8"/>
          </w:tcPr>
          <w:p w14:paraId="1FEE2E70" w14:textId="0B07E936" w:rsidR="00AC6B4A" w:rsidRDefault="007F2AA9" w:rsidP="002F11A4">
            <w:pPr>
              <w:spacing w:after="20" w:line="360" w:lineRule="auto"/>
            </w:pPr>
            <w:r>
              <w:rPr>
                <w:sz w:val="17"/>
              </w:rPr>
              <w:t>category trend analysis tells us the direction of performance, while the top-versus-bottom product gap tells us whether the problem is specific to a product or common across the category. A large product gap can support SKU rationalisation, but a small gap means removing one product is unlikely to solve the category problem. Here, category movement is much larger than product movement. Electronics fell 35% from ₹45.7M to ₹29.7M, while Apparel grew 34.1% from ₹10.0M to ₹13.5M. However, the Electronics product gap is only 13.9%, and the Apparel and Grocery gaps are 4.1% and 2.2%. So there is no clearly weak SKU. The stronger business signal is category-level performance, especially the decline in Electronics.</w:t>
            </w:r>
          </w:p>
        </w:tc>
      </w:tr>
    </w:tbl>
    <w:p w14:paraId="157075A9" w14:textId="77777777" w:rsidR="00AC6B4A" w:rsidRDefault="007F2AA9" w:rsidP="002F11A4">
      <w:pPr>
        <w:spacing w:after="40" w:line="360" w:lineRule="auto"/>
      </w:pPr>
      <w:r>
        <w:rPr>
          <w:rFonts w:ascii="Aptos Display" w:hAnsi="Aptos Display"/>
          <w:b/>
          <w:sz w:val="23"/>
        </w:rPr>
        <w:t>What I Learned</w:t>
      </w:r>
    </w:p>
    <w:tbl>
      <w:tblPr>
        <w:tblW w:w="0" w:type="auto"/>
        <w:tblLook w:val="04A0" w:firstRow="1" w:lastRow="0" w:firstColumn="1" w:lastColumn="0" w:noHBand="0" w:noVBand="1"/>
      </w:tblPr>
      <w:tblGrid>
        <w:gridCol w:w="10633"/>
      </w:tblGrid>
      <w:tr w:rsidR="00AC6B4A" w14:paraId="43E863AD" w14:textId="77777777">
        <w:tc>
          <w:tcPr>
            <w:tcW w:w="10656" w:type="dxa"/>
            <w:tcBorders>
              <w:top w:val="single" w:sz="4" w:space="0" w:color="B9D7BE"/>
              <w:left w:val="single" w:sz="14" w:space="0" w:color="4F9B5B"/>
              <w:bottom w:val="single" w:sz="4" w:space="0" w:color="B9D7BE"/>
              <w:right w:val="single" w:sz="4" w:space="0" w:color="B9D7BE"/>
            </w:tcBorders>
            <w:shd w:val="clear" w:color="auto" w:fill="EDF7EE"/>
          </w:tcPr>
          <w:p w14:paraId="165E8A32" w14:textId="77777777" w:rsidR="00AC6B4A" w:rsidRDefault="007F2AA9" w:rsidP="002F11A4">
            <w:pPr>
              <w:spacing w:after="20" w:line="360" w:lineRule="auto"/>
            </w:pPr>
            <w:r>
              <w:rPr>
                <w:sz w:val="17"/>
              </w:rPr>
              <w:t>I expected to find one or two weak products to remove, but the data did not show a clear candidate. I learned that a negative finding is still useful when it is supported by data. I also learned that total revenue and the direction of revenue answer different questions, so both need separate analysis. Finally, using the same chart style across the notebook made the results easier to compare and understand.</w:t>
            </w:r>
          </w:p>
        </w:tc>
      </w:tr>
    </w:tbl>
    <w:p w14:paraId="4544B093" w14:textId="77777777" w:rsidR="00AC6B4A" w:rsidRDefault="007F2AA9" w:rsidP="002F11A4">
      <w:pPr>
        <w:spacing w:after="40" w:line="360" w:lineRule="auto"/>
      </w:pPr>
      <w:r>
        <w:rPr>
          <w:rFonts w:ascii="Aptos Display" w:hAnsi="Aptos Display"/>
          <w:b/>
          <w:sz w:val="23"/>
        </w:rPr>
        <w:t>Conclusion</w:t>
      </w:r>
    </w:p>
    <w:tbl>
      <w:tblPr>
        <w:tblW w:w="0" w:type="auto"/>
        <w:tblLook w:val="04A0" w:firstRow="1" w:lastRow="0" w:firstColumn="1" w:lastColumn="0" w:noHBand="0" w:noVBand="1"/>
      </w:tblPr>
      <w:tblGrid>
        <w:gridCol w:w="10633"/>
      </w:tblGrid>
      <w:tr w:rsidR="00AC6B4A" w14:paraId="0D060933" w14:textId="77777777">
        <w:tc>
          <w:tcPr>
            <w:tcW w:w="10656" w:type="dxa"/>
            <w:tcBorders>
              <w:top w:val="single" w:sz="4" w:space="0" w:color="E4C98D"/>
              <w:left w:val="single" w:sz="14" w:space="0" w:color="C88917"/>
              <w:bottom w:val="single" w:sz="4" w:space="0" w:color="E4C98D"/>
              <w:right w:val="single" w:sz="4" w:space="0" w:color="E4C98D"/>
            </w:tcBorders>
            <w:shd w:val="clear" w:color="auto" w:fill="FFF7E8"/>
          </w:tcPr>
          <w:p w14:paraId="7736D13D" w14:textId="77777777" w:rsidR="00AC6B4A" w:rsidRDefault="007F2AA9" w:rsidP="002F11A4">
            <w:pPr>
              <w:spacing w:after="20" w:line="360" w:lineRule="auto"/>
            </w:pPr>
            <w:r>
              <w:rPr>
                <w:sz w:val="17"/>
              </w:rPr>
              <w:t>My analysis shows that the main signal is category performance, not individual product performance. Electronics declined by 35%, while Apparel grew by 34.1%. Since the product gaps are relatively small, the data does not support removing specific SKUs. The useful business direction is therefore to focus on category trends, supplier discussions, and where investment or promotional attention should go. This work helped me understand how EDA can turn sales numbers into a clear business interpretation.</w:t>
            </w:r>
          </w:p>
        </w:tc>
      </w:tr>
    </w:tbl>
    <w:p w14:paraId="3B9B9CB4" w14:textId="77777777" w:rsidR="007F2AA9" w:rsidRDefault="007F2AA9" w:rsidP="002F11A4">
      <w:pPr>
        <w:spacing w:line="360" w:lineRule="auto"/>
      </w:pPr>
    </w:p>
    <w:sectPr w:rsidR="007F2AA9">
      <w:pgSz w:w="12240" w:h="15840"/>
      <w:pgMar w:top="648" w:right="792" w:bottom="648" w:left="7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5049B"/>
    <w:multiLevelType w:val="hybridMultilevel"/>
    <w:tmpl w:val="C6566420"/>
    <w:lvl w:ilvl="0" w:tplc="88C42710">
      <w:start w:val="1"/>
      <w:numFmt w:val="bullet"/>
      <w:lvlText w:val="●"/>
      <w:lvlJc w:val="left"/>
      <w:pPr>
        <w:ind w:left="720" w:hanging="360"/>
      </w:pPr>
    </w:lvl>
    <w:lvl w:ilvl="1" w:tplc="E36071FC">
      <w:start w:val="1"/>
      <w:numFmt w:val="bullet"/>
      <w:lvlText w:val="○"/>
      <w:lvlJc w:val="left"/>
      <w:pPr>
        <w:ind w:left="1440" w:hanging="360"/>
      </w:pPr>
    </w:lvl>
    <w:lvl w:ilvl="2" w:tplc="51FEF146">
      <w:start w:val="1"/>
      <w:numFmt w:val="bullet"/>
      <w:lvlText w:val="■"/>
      <w:lvlJc w:val="left"/>
      <w:pPr>
        <w:ind w:left="2160" w:hanging="360"/>
      </w:pPr>
    </w:lvl>
    <w:lvl w:ilvl="3" w:tplc="C4988DD8">
      <w:start w:val="1"/>
      <w:numFmt w:val="bullet"/>
      <w:lvlText w:val="●"/>
      <w:lvlJc w:val="left"/>
      <w:pPr>
        <w:ind w:left="2880" w:hanging="360"/>
      </w:pPr>
    </w:lvl>
    <w:lvl w:ilvl="4" w:tplc="1EA64EFA">
      <w:start w:val="1"/>
      <w:numFmt w:val="bullet"/>
      <w:lvlText w:val="○"/>
      <w:lvlJc w:val="left"/>
      <w:pPr>
        <w:ind w:left="3600" w:hanging="360"/>
      </w:pPr>
    </w:lvl>
    <w:lvl w:ilvl="5" w:tplc="62E41A58">
      <w:start w:val="1"/>
      <w:numFmt w:val="bullet"/>
      <w:lvlText w:val="■"/>
      <w:lvlJc w:val="left"/>
      <w:pPr>
        <w:ind w:left="4320" w:hanging="360"/>
      </w:pPr>
    </w:lvl>
    <w:lvl w:ilvl="6" w:tplc="F71C918A">
      <w:start w:val="1"/>
      <w:numFmt w:val="bullet"/>
      <w:lvlText w:val="●"/>
      <w:lvlJc w:val="left"/>
      <w:pPr>
        <w:ind w:left="5040" w:hanging="360"/>
      </w:pPr>
    </w:lvl>
    <w:lvl w:ilvl="7" w:tplc="E7C2A442">
      <w:start w:val="1"/>
      <w:numFmt w:val="bullet"/>
      <w:lvlText w:val="●"/>
      <w:lvlJc w:val="left"/>
      <w:pPr>
        <w:ind w:left="5760" w:hanging="360"/>
      </w:pPr>
    </w:lvl>
    <w:lvl w:ilvl="8" w:tplc="E23C9D44">
      <w:start w:val="1"/>
      <w:numFmt w:val="bullet"/>
      <w:lvlText w:val="●"/>
      <w:lvlJc w:val="left"/>
      <w:pPr>
        <w:ind w:left="6480" w:hanging="360"/>
      </w:pPr>
    </w:lvl>
  </w:abstractNum>
  <w:num w:numId="1" w16cid:durableId="4026826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3F72"/>
    <w:rsid w:val="002F11A4"/>
    <w:rsid w:val="002F4DD9"/>
    <w:rsid w:val="0051419E"/>
    <w:rsid w:val="007A3F72"/>
    <w:rsid w:val="007F2AA9"/>
    <w:rsid w:val="00834CA0"/>
    <w:rsid w:val="00947F30"/>
    <w:rsid w:val="00957B70"/>
    <w:rsid w:val="00AC6B4A"/>
    <w:rsid w:val="00D120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B0C98"/>
  <w15:docId w15:val="{6B7C5A7C-6C28-49E2-B12B-F31608F5A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431</Words>
  <Characters>2460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Jeenepally Adiseshu</cp:lastModifiedBy>
  <cp:revision>4</cp:revision>
  <dcterms:created xsi:type="dcterms:W3CDTF">2026-09-19T08:24:00Z</dcterms:created>
  <dcterms:modified xsi:type="dcterms:W3CDTF">2026-09-19T08:26:00Z</dcterms:modified>
</cp:coreProperties>
</file>