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Individual Contribution Report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Adi Seshu · Category Trend &amp; Product-Level Analysis</w:t>
      </w:r>
    </w:p>
    <w:p>
      <w:pPr>
        <w:pBdr>
          <w:bottom w:val="single" w:color="1F3864" w:sz="8" w:space="4"/>
        </w:pBdr>
        <w:spacing w:after="14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Calibo AI Academy · KLU Batch 16 · MUC01 Category Intelligence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20"/>
      </w:tblGrid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7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MUC01 — Retail Product Performance EDA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7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107,836 transactions, Jan–Jun 2026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7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Naishadh Vytla · Nakul Sriraj · Sushmitha · Adi Seshu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My scope</w:t>
            </w:r>
          </w:p>
        </w:tc>
        <w:tc>
          <w:tcPr>
            <w:tcW w:type="dxa" w:w="77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 2 (category trends), Step 3 (product ranking), chart style consistency</w:t>
            </w:r>
          </w:p>
        </w:tc>
      </w:tr>
    </w:tbl>
    <w:p>
      <w:pP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Approach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I aggregated revenue by month and category and measured first-to-last-month change. I then ranked products within each category and calculated the gap between best and worst performers, testing whether product rationalisation is a viable lever.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Findings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700"/>
        <w:gridCol w:w="442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Reading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Electronics trend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₹45.7M → ₹29.7M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−35.0%, largest category, steepest decline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Apparel trend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₹10.0M → ₹13.5M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+34.1%, only sustained growth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 &amp; Kitchen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−18.5%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Quiet secondary decline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Grocery / Personal Care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−3.5% / +2.2%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Effectively flat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Electronics products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13.9% gap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Headphones vs Smart TV, widest gap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Apparel / Grocery products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4.1% / 2.2% gap</w:t>
            </w:r>
          </w:p>
        </w:tc>
        <w:tc>
          <w:tcPr>
            <w:tcW w:type="dxa" w:w="4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Negligible</w:t>
            </w:r>
          </w:p>
        </w:tc>
      </w:tr>
    </w:tbl>
    <w:p>
      <w:pPr>
        <w:spacing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1F3864" w:sz="4"/>
              <w:left w:val="single" w:color="1F3864" w:sz="24"/>
              <w:bottom w:val="single" w:color="1F3864" w:sz="4"/>
              <w:right w:val="single" w:color="1F3864" w:sz="4"/>
            </w:tcBorders>
            <w:shd w:fill="EAF0F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Interpretation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Category movement is dramatic (a 69-point spread) while products sit within roughly 2–14% of each other. There is no dead SKU, so the intervention should target category-level and discount decisions, not product cuts. The supplier conversation is about Electronics as a whole.</w:t>
            </w:r>
          </w:p>
        </w:tc>
      </w:tr>
    </w:tbl>
    <w:p>
      <w:pPr>
        <w:spacing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2E7D32" w:sz="4"/>
              <w:left w:val="single" w:color="2E7D32" w:sz="24"/>
              <w:bottom w:val="single" w:color="2E7D32" w:sz="4"/>
              <w:right w:val="single" w:color="2E7D32" w:sz="4"/>
            </w:tcBorders>
            <w:shd w:fill="EEF6EE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Learnings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Reporting a negative result honestly matters more than forcing a recommendation. Size and direction need separate charts, and consistent styling builds trust. Nakul's briefing showed how pairing findings with actions and figures sharpens them; seeing my charts reused in Naishadh's Clarity app showed chart selection can follow rules about column types.</w:t>
            </w:r>
          </w:p>
        </w:tc>
      </w:tr>
    </w:tbl>
    <w:p>
      <w:pPr>
        <w:spacing w:after="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C77700" w:sz="4"/>
              <w:left w:val="single" w:color="C77700" w:sz="24"/>
              <w:bottom w:val="single" w:color="C77700" w:sz="4"/>
              <w:right w:val="single" w:color="C77700" w:sz="4"/>
            </w:tcBorders>
            <w:shd w:fill="FDF3E3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77700"/>
                <w:sz w:val="20"/>
                <w:szCs w:val="20"/>
              </w:rPr>
              <w:t xml:space="preserve">Limitation</w:t>
            </w:r>
          </w:p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Revenue only: no cost, margin, or footfall data, so all conclusions rest on top-line performance.</w:t>
            </w:r>
          </w:p>
        </w:tc>
      </w:tr>
    </w:tbl>
    <w:sectPr>
      <w:pgSz w:w="12240" w:h="15840" w:orient="portrait"/>
      <w:pgMar w:top="900" w:right="1260" w:bottom="9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2026-09-19T07:32:48.047Z</dcterms:created>
  <dcterms:modified xsi:type="dcterms:W3CDTF">2026-09-19T07:32:48.047Z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