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4"/>
          <w:szCs w:val="34"/>
        </w:rPr>
        <w:t xml:space="preserve">Individual Contribution Report</w:t>
      </w:r>
    </w:p>
    <w:p>
      <w:pPr>
        <w:spacing w:after="40"/>
      </w:pPr>
      <w:r>
        <w:rPr>
          <w:color w:val="595959"/>
          <w:sz w:val="24"/>
          <w:szCs w:val="24"/>
        </w:rPr>
        <w:t xml:space="preserve">Naishadh Vytla  ·  Data Foundation &amp; SSOT Owner · Clarity Web App</w:t>
      </w:r>
    </w:p>
    <w:p>
      <w:pPr>
        <w:pBdr>
          <w:bottom w:val="single" w:color="1F4E79" w:sz="8" w:space="6"/>
        </w:pBdr>
        <w:spacing w:after="180"/>
      </w:pPr>
      <w:r>
        <w:rPr>
          <w:i/>
          <w:iCs/>
          <w:color w:val="595959"/>
          <w:sz w:val="19"/>
          <w:szCs w:val="19"/>
        </w:rPr>
        <w:t xml:space="preserve">Calibo AI Academy · Path 2 · KLU Batch 16 · Phase 1 — Mini Use Case 01 · Category Intelligence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MUC01 — Category Intelligence: Retail Product Performance EDA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16 — Naishadh Vytla · Nakul Sriraj · Sushmitha · Adi Seshu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MUC01_Retail_Sales_Dataset.csv — 107,836 transactions, Jan–Jun 2026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· Google Colab · Pandas · NumPy · Matplotlib · Seaborn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extension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— live EDA web app built by Naishadh Vytla · clarityeda.netlify.app</w:t>
            </w:r>
          </w:p>
        </w:tc>
      </w:tr>
    </w:tbl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1.  Scope of my contribution</w:t>
      </w:r>
    </w:p>
    <w:p>
      <w:pPr>
        <w:spacing w:after="110"/>
      </w:pPr>
      <w:r>
        <w:rPr>
          <w:sz w:val="21"/>
          <w:szCs w:val="21"/>
        </w:rPr>
        <w:t xml:space="preserve">Work on this use case was divided across four members. The sections below are the ones I personally owned, end to end.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0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covered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Load, inspect &amp; validate the dataset; establish the Single Source of Truth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SSOT validation and final notebook assembly across all seven steps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Beyond scope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— a live, deployed web application that generalises this workflow to any dataset</w:t>
            </w:r>
          </w:p>
        </w:tc>
      </w:tr>
    </w:tbl>
    <w:p>
      <w:pPr>
        <w:spacing w:after="60"/>
      </w:pPr>
      <w:r>
        <w:rPr>
          <w:b/>
          <w:bCs/>
          <w:sz w:val="21"/>
          <w:szCs w:val="21"/>
        </w:rPr>
        <w:t xml:space="preserve">Cross-cutting deliverable: </w:t>
      </w:r>
      <w:r>
        <w:rPr>
          <w:sz w:val="21"/>
          <w:szCs w:val="21"/>
        </w:rPr>
        <w:t xml:space="preserve">SSOT validation · final notebook assembly · Clarity web app (built beyond the assigned scope)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2.  What I did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What I built</w:t>
      </w:r>
    </w:p>
    <w:p>
      <w:pPr>
        <w:spacing w:after="110"/>
      </w:pPr>
      <w:r>
        <w:rPr>
          <w:sz w:val="21"/>
          <w:szCs w:val="21"/>
        </w:rPr>
        <w:t xml:space="preserve">Loaded the 107,836-row transaction file, ran the data-quality gate (nulls, duplicates, ID uniqueness, dtypes) and derived the single validated DataFrame that every later step reads from.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The SSOT check</w:t>
      </w:r>
    </w:p>
    <w:p>
      <w:pPr>
        <w:spacing w:after="110"/>
      </w:pPr>
      <w:r>
        <w:rPr>
          <w:sz w:val="21"/>
          <w:szCs w:val="21"/>
        </w:rPr>
        <w:t xml:space="preserve">Verified that revenue = units_sold × unit_price × (1 − discount_pct/100) holds for 100% of rows before any chart was drawn. This is what makes the frame authoritative rather than just 'loaded'.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Notebook assembly</w:t>
      </w:r>
    </w:p>
    <w:p>
      <w:pPr>
        <w:spacing w:after="110"/>
      </w:pPr>
      <w:r>
        <w:rPr>
          <w:sz w:val="21"/>
          <w:szCs w:val="21"/>
        </w:rPr>
        <w:t xml:space="preserve">Merged four members' sections into one notebook with a consistent structure, and confirmed it executes top to bottom from a clean kernel.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3.  Findings from my sections</w:t>
      </w:r>
    </w:p>
    <w:p>
      <w:pPr>
        <w:spacing w:after="80"/>
      </w:pPr>
      <w:r>
        <w:rPr>
          <w:sz w:val="21"/>
          <w:szCs w:val="21"/>
        </w:rPr>
        <w:t xml:space="preserve">Every figure below is computed from the validated dataset and reproduces in the team notebook.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400"/>
      </w:tblGrid>
      <w:tr>
        <w:trPr>
          <w:tblHeader/>
        </w:trPr>
        <w:tc>
          <w:tcPr>
            <w:tcW w:type="dxa" w:w="25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Figure</w:t>
            </w:r>
          </w:p>
        </w:tc>
        <w:tc>
          <w:tcPr>
            <w:tcW w:type="dxa" w:w="34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/ columns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107,836 × 10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six-month transaction history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in any column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imputation required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transactions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all transaction_id unique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de-duplication required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formula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Reconciles on 107,836 / 107,836 rows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downstream figure traces to raw transactions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coverage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2026-01-01 → 2026-06-30, continuous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gaps in the period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Discount levels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0%, 5%, 10%, 15%, 20%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25%+ bracket exists in the data</w:t>
            </w:r>
          </w:p>
        </w:tc>
      </w:tr>
    </w:tbl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4.  Business interpretation</w:t>
      </w:r>
    </w:p>
    <w:p>
      <w:pPr>
        <w:spacing w:after="110"/>
      </w:pPr>
      <w:r>
        <w:rPr>
          <w:sz w:val="21"/>
          <w:szCs w:val="21"/>
        </w:rPr>
        <w:t xml:space="preserve">The dataset arrived clean, which shifts the value of Step 1 from cleaning to proving. Establishing that the revenue identity holds on every row is what lets the rest of the team quote figures without re-deriving them — a single validated frame, one definition of each metric, no divergent copies. That discipline is also what made the later steps safe to merge: because Steps 2 through 7 all read from the same frame, the ₹459.8M total and the category splits reconcile against each other rather than drifting.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5.  Beyond the assigned scope — Clarity, a live EDA web application</w:t>
      </w:r>
    </w:p>
    <w:p>
      <w:pPr>
        <w:spacing w:after="110"/>
      </w:pPr>
      <w:r>
        <w:rPr>
          <w:sz w:val="21"/>
          <w:szCs w:val="21"/>
        </w:rPr>
        <w:t xml:space="preserve">Beyond the assigned scope, I built and deployed a live web application that generalises this entire use case into a reusable product. It is publicly accessible and runs on real user accounts.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Live at: </w:t>
      </w:r>
      <w:r>
        <w:rPr>
          <w:sz w:val="21"/>
          <w:szCs w:val="21"/>
        </w:rPr>
        <w:t xml:space="preserve">https://clarityeda.netlify.app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00"/>
      </w:tblGrid>
      <w:tr>
        <w:trPr>
          <w:tblHeader/>
        </w:trPr>
        <w:tc>
          <w:tcPr>
            <w:tcW w:type="dxa" w:w="23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7100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&amp; profile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Accepts CSV, XLSX, JSON and TSV. Infers each column's type, then profiles missingness, uniqueness, duplicates and distributions across the whole file.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Transparent quality score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data quality out of 100 by subtracting itemised, capped penalties for missingness, duplicates, constant/empty columns, mixed types and outliers. Every penalty is shown, so the score is auditable rather than a black box.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 with consent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Detects duplicates, missing values, mixed types, whitespace and IQR outliers, and proposes a fix for each with preview, apply and undo. Nothing is changed silently; outliers are flagged, never auto-deleted.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EDA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Selects chart types from each column's inferred type — histograms for numeric fields, frequency bars for categories, time series for dates — plus a Pearson correlation matrix with the strongest relationships ranked.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Evidence-linked insights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observations deterministically from the computed statistics, each tied to the metric it came from. Where no pattern is statistically meaningful, it says so rather than inventing one.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SSOT report generation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Produces a report in the same structure as this project's team document — problem canvas, quality assessment, cleaning log, findings, statistics, recommendations and limitations — exportable to HTML or PDF.</w:t>
            </w:r>
          </w:p>
        </w:tc>
      </w:tr>
    </w:tbl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Technical approach</w:t>
      </w:r>
    </w:p>
    <w:p>
      <w:pPr>
        <w:spacing w:after="110"/>
      </w:pPr>
      <w:r>
        <w:rPr>
          <w:sz w:val="21"/>
          <w:szCs w:val="21"/>
        </w:rPr>
        <w:t xml:space="preserve">Single static HTML file with no build step: Papa Parse, SheetJS and Chart.js handle parsing and visualisation entirely in the browser, so an uploaded dataset never leaves the user's machine. Supabase provides authentication (email/password and Google OAuth), a Postgres database with row-level security so each user sees only their own work, and private per-user file storage. A database trigger enforces a two-analysis limit per account, with delete-to-free-space. Deployed on Netlify.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Why it matters for this use case</w:t>
      </w:r>
    </w:p>
    <w:p>
      <w:pPr>
        <w:spacing w:after="110"/>
      </w:pPr>
      <w:r>
        <w:rPr>
          <w:sz w:val="21"/>
          <w:szCs w:val="21"/>
        </w:rPr>
        <w:t xml:space="preserve">The connection to this use case is reproducibility. The SSOT discipline I applied by hand in Step 1 — validate once, derive everything from one frame — is enforced automatically by the application. Re-running this analysis on next quarter's data becomes a few minutes of upload-and-review rather than a rebuild, and the same pipeline now works for any dataset, not just this one. Building it also forced me to convert judgement calls into explicit rules: deciding what counts as an outlier, how to weight a quality penalty, and when an insight is supported well enough to state at all.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6.  What I learned</w:t>
      </w:r>
    </w:p>
    <w:p>
      <w:pPr>
        <w:spacing w:after="110"/>
      </w:pPr>
      <w:r>
        <w:rPr>
          <w:sz w:val="21"/>
          <w:szCs w:val="21"/>
        </w:rPr>
        <w:t xml:space="preserve">Verifying the revenue identity across all 107,836 rows turned SSOT from an abstract requirement into something concrete — I could point at a check rather than assert cleanliness. Assembling the final notebook taught me the second lesson: a notebook that runs on your machine is not the same as one that runs from a clean kernel, and hidden state between cells is the most common way a group notebook breaks. Building Clarity taught me the third: automating an analysis exposes every assumption you were making implicitly, because a rule has to fire the same way on data you have never seen.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From my teammates: </w:t>
      </w:r>
      <w:r>
        <w:rPr>
          <w:sz w:val="21"/>
          <w:szCs w:val="21"/>
        </w:rPr>
        <w:t xml:space="preserve">From Sushmitha's discount work I took the habit of testing a lever against volume rather than revenue alone — flat units across the discount ladder is a far cleaner argument than any revenue figure on its own.</w:t>
      </w:r>
    </w:p>
    <w:p>
      <w:pPr>
        <w:pBdr>
          <w:bottom w:val="single" w:color="BFBFBF" w:sz="6" w:space="4"/>
        </w:pBdr>
        <w:spacing w:after="90" w:before="200"/>
      </w:pPr>
      <w:r>
        <w:rPr>
          <w:b/>
          <w:bCs/>
          <w:color w:val="1F4E79"/>
          <w:sz w:val="26"/>
          <w:szCs w:val="26"/>
        </w:rPr>
        <w:t xml:space="preserve">7.  Limitation I would flag</w:t>
      </w:r>
    </w:p>
    <w:p>
      <w:pPr>
        <w:spacing w:after="110"/>
      </w:pPr>
      <w:r>
        <w:rPr>
          <w:sz w:val="21"/>
          <w:szCs w:val="21"/>
        </w:rPr>
        <w:t xml:space="preserve">The dataset carries </w:t>
      </w:r>
      <w:r>
        <w:rPr>
          <w:b/>
          <w:bCs/>
          <w:sz w:val="21"/>
          <w:szCs w:val="21"/>
        </w:rPr>
        <w:t xml:space="preserve">revenue only — no cost or margin data</w:t>
      </w:r>
      <w:r>
        <w:rPr>
          <w:sz w:val="21"/>
          <w:szCs w:val="21"/>
        </w:rPr>
        <w:t xml:space="preserve">. A growing category could still be low-margin and a declining one highly profitable, so every recommendation here rests on top-line performance. Category-level COGS, and ideally footfall counts to separate demand shifts from basket-size effects, would be needed to confirm these calls on profit.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2026-09-18T20:14:54.059Z</dcterms:created>
  <dcterms:modified xsi:type="dcterms:W3CDTF">2026-09-18T20:14:54.067Z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