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4E79"/>
          <w:sz w:val="34"/>
          <w:szCs w:val="34"/>
        </w:rPr>
        <w:t xml:space="preserve">Individual Contribution Report</w:t>
      </w:r>
    </w:p>
    <w:p>
      <w:pPr>
        <w:spacing w:after="40"/>
      </w:pPr>
      <w:r>
        <w:rPr>
          <w:color w:val="595959"/>
          <w:sz w:val="24"/>
          <w:szCs w:val="24"/>
        </w:rPr>
        <w:t xml:space="preserve">Nakul Sriraj  ·  Business Synthesis &amp; Stakeholder Briefing</w:t>
      </w:r>
    </w:p>
    <w:p>
      <w:pPr>
        <w:pBdr>
          <w:bottom w:val="single" w:color="1F4E79" w:sz="8" w:space="6"/>
        </w:pBdr>
        <w:spacing w:after="180"/>
      </w:pPr>
      <w:r>
        <w:rPr>
          <w:i/>
          <w:iCs/>
          <w:color w:val="595959"/>
          <w:sz w:val="19"/>
          <w:szCs w:val="19"/>
        </w:rPr>
        <w:t xml:space="preserve">Calibo AI Academy · Path 2 · KLU Batch 16 · Phase 1 — Mini Use Case 01 · Category Intelligence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DCE6F1" w:color="auto" w:val="clear"/>
            <w:tcMar>
              <w:top w:type="dxa" w:w="70"/>
              <w:left w:type="dxa" w:w="90"/>
              <w:bottom w:type="dxa" w:w="70"/>
              <w:right w:type="dxa" w:w="90"/>
            </w:tcMar>
          </w:tcPr>
          <w:p>
            <w:r>
              <w:rPr>
                <w:b/>
                <w:bCs/>
                <w:sz w:val="20"/>
                <w:szCs w:val="20"/>
              </w:rPr>
              <w:t xml:space="preserve">Field</w:t>
            </w:r>
          </w:p>
        </w:tc>
        <w:tc>
          <w:tcPr>
            <w:tcW w:type="dxa" w:w="7000"/>
            <w:shd w:fill="DCE6F1" w:color="auto" w:val="clear"/>
            <w:tcMar>
              <w:top w:type="dxa" w:w="70"/>
              <w:left w:type="dxa" w:w="90"/>
              <w:bottom w:type="dxa" w:w="70"/>
              <w:right w:type="dxa" w:w="90"/>
            </w:tcMar>
          </w:tcPr>
          <w:p>
            <w:r>
              <w:rPr>
                <w:b/>
                <w:bCs/>
                <w:sz w:val="20"/>
                <w:szCs w:val="20"/>
              </w:rPr>
              <w:t xml:space="preserve">Details</w:t>
            </w:r>
          </w:p>
        </w:tc>
      </w:tr>
      <w:tr>
        <w:trPr>
          <w:tblHeader w:val="false"/>
        </w:trPr>
        <w:tc>
          <w:tcPr>
            <w:tcW w:type="dxa" w:w="2400"/>
            <w:tcMar>
              <w:top w:type="dxa" w:w="70"/>
              <w:left w:type="dxa" w:w="90"/>
              <w:bottom w:type="dxa" w:w="70"/>
              <w:right w:type="dxa" w:w="90"/>
            </w:tcMar>
          </w:tcPr>
          <w:p>
            <w:r>
              <w:rPr>
                <w:b w:val="false"/>
                <w:bCs w:val="false"/>
                <w:sz w:val="20"/>
                <w:szCs w:val="20"/>
              </w:rPr>
              <w:t xml:space="preserve">Use case</w:t>
            </w:r>
          </w:p>
        </w:tc>
        <w:tc>
          <w:tcPr>
            <w:tcW w:type="dxa" w:w="7000"/>
            <w:tcMar>
              <w:top w:type="dxa" w:w="70"/>
              <w:left w:type="dxa" w:w="90"/>
              <w:bottom w:type="dxa" w:w="70"/>
              <w:right w:type="dxa" w:w="90"/>
            </w:tcMar>
          </w:tcPr>
          <w:p>
            <w:r>
              <w:rPr>
                <w:b w:val="false"/>
                <w:bCs w:val="false"/>
                <w:sz w:val="20"/>
                <w:szCs w:val="20"/>
              </w:rPr>
              <w:t xml:space="preserve">MUC01 — Category Intelligence: Retail Product Performance EDA</w:t>
            </w:r>
          </w:p>
        </w:tc>
      </w:tr>
      <w:tr>
        <w:trPr>
          <w:tblHeader w:val="false"/>
        </w:trPr>
        <w:tc>
          <w:tcPr>
            <w:tcW w:type="dxa" w:w="2400"/>
            <w:tcMar>
              <w:top w:type="dxa" w:w="70"/>
              <w:left w:type="dxa" w:w="90"/>
              <w:bottom w:type="dxa" w:w="70"/>
              <w:right w:type="dxa" w:w="90"/>
            </w:tcMar>
          </w:tcPr>
          <w:p>
            <w:r>
              <w:rPr>
                <w:b w:val="false"/>
                <w:bCs w:val="false"/>
                <w:sz w:val="20"/>
                <w:szCs w:val="20"/>
              </w:rPr>
              <w:t xml:space="preserve">Team</w:t>
            </w:r>
          </w:p>
        </w:tc>
        <w:tc>
          <w:tcPr>
            <w:tcW w:type="dxa" w:w="7000"/>
            <w:tcMar>
              <w:top w:type="dxa" w:w="70"/>
              <w:left w:type="dxa" w:w="90"/>
              <w:bottom w:type="dxa" w:w="70"/>
              <w:right w:type="dxa" w:w="90"/>
            </w:tcMar>
          </w:tcPr>
          <w:p>
            <w:r>
              <w:rPr>
                <w:b w:val="false"/>
                <w:bCs w:val="false"/>
                <w:sz w:val="20"/>
                <w:szCs w:val="20"/>
              </w:rPr>
              <w:t xml:space="preserve">Batch 16 — Naishadh Vytla · Nakul Sriraj · Sushmitha · Adi Seshu</w:t>
            </w:r>
          </w:p>
        </w:tc>
      </w:tr>
      <w:tr>
        <w:trPr>
          <w:tblHeader w:val="false"/>
        </w:trPr>
        <w:tc>
          <w:tcPr>
            <w:tcW w:type="dxa" w:w="2400"/>
            <w:tcMar>
              <w:top w:type="dxa" w:w="70"/>
              <w:left w:type="dxa" w:w="90"/>
              <w:bottom w:type="dxa" w:w="70"/>
              <w:right w:type="dxa" w:w="90"/>
            </w:tcMar>
          </w:tcPr>
          <w:p>
            <w:r>
              <w:rPr>
                <w:b w:val="false"/>
                <w:bCs w:val="false"/>
                <w:sz w:val="20"/>
                <w:szCs w:val="20"/>
              </w:rPr>
              <w:t xml:space="preserve">Dataset</w:t>
            </w:r>
          </w:p>
        </w:tc>
        <w:tc>
          <w:tcPr>
            <w:tcW w:type="dxa" w:w="7000"/>
            <w:tcMar>
              <w:top w:type="dxa" w:w="70"/>
              <w:left w:type="dxa" w:w="90"/>
              <w:bottom w:type="dxa" w:w="70"/>
              <w:right w:type="dxa" w:w="90"/>
            </w:tcMar>
          </w:tcPr>
          <w:p>
            <w:r>
              <w:rPr>
                <w:b w:val="false"/>
                <w:bCs w:val="false"/>
                <w:sz w:val="20"/>
                <w:szCs w:val="20"/>
              </w:rPr>
              <w:t xml:space="preserve">MUC01_Retail_Sales_Dataset.csv — 107,836 transactions, Jan–Jun 2026</w:t>
            </w:r>
          </w:p>
        </w:tc>
      </w:tr>
      <w:tr>
        <w:trPr>
          <w:tblHeader w:val="false"/>
        </w:trPr>
        <w:tc>
          <w:tcPr>
            <w:tcW w:type="dxa" w:w="2400"/>
            <w:tcMar>
              <w:top w:type="dxa" w:w="70"/>
              <w:left w:type="dxa" w:w="90"/>
              <w:bottom w:type="dxa" w:w="70"/>
              <w:right w:type="dxa" w:w="90"/>
            </w:tcMar>
          </w:tcPr>
          <w:p>
            <w:r>
              <w:rPr>
                <w:b w:val="false"/>
                <w:bCs w:val="false"/>
                <w:sz w:val="20"/>
                <w:szCs w:val="20"/>
              </w:rPr>
              <w:t xml:space="preserve">Tools</w:t>
            </w:r>
          </w:p>
        </w:tc>
        <w:tc>
          <w:tcPr>
            <w:tcW w:type="dxa" w:w="7000"/>
            <w:tcMar>
              <w:top w:type="dxa" w:w="70"/>
              <w:left w:type="dxa" w:w="90"/>
              <w:bottom w:type="dxa" w:w="70"/>
              <w:right w:type="dxa" w:w="90"/>
            </w:tcMar>
          </w:tcPr>
          <w:p>
            <w:r>
              <w:rPr>
                <w:b w:val="false"/>
                <w:bCs w:val="false"/>
                <w:sz w:val="20"/>
                <w:szCs w:val="20"/>
              </w:rPr>
              <w:t xml:space="preserve">Python · Google Colab · Pandas · NumPy · Matplotlib · Seaborn</w:t>
            </w:r>
          </w:p>
        </w:tc>
      </w:tr>
      <w:tr>
        <w:trPr>
          <w:tblHeader w:val="false"/>
        </w:trPr>
        <w:tc>
          <w:tcPr>
            <w:tcW w:type="dxa" w:w="2400"/>
            <w:tcMar>
              <w:top w:type="dxa" w:w="70"/>
              <w:left w:type="dxa" w:w="90"/>
              <w:bottom w:type="dxa" w:w="70"/>
              <w:right w:type="dxa" w:w="90"/>
            </w:tcMar>
          </w:tcPr>
          <w:p>
            <w:r>
              <w:rPr>
                <w:b w:val="false"/>
                <w:bCs w:val="false"/>
                <w:sz w:val="20"/>
                <w:szCs w:val="20"/>
              </w:rPr>
              <w:t xml:space="preserve">Team extension</w:t>
            </w:r>
          </w:p>
        </w:tc>
        <w:tc>
          <w:tcPr>
            <w:tcW w:type="dxa" w:w="7000"/>
            <w:tcMar>
              <w:top w:type="dxa" w:w="70"/>
              <w:left w:type="dxa" w:w="90"/>
              <w:bottom w:type="dxa" w:w="70"/>
              <w:right w:type="dxa" w:w="90"/>
            </w:tcMar>
          </w:tcPr>
          <w:p>
            <w:r>
              <w:rPr>
                <w:b w:val="false"/>
                <w:bCs w:val="false"/>
                <w:sz w:val="20"/>
                <w:szCs w:val="20"/>
              </w:rPr>
              <w:t xml:space="preserve">Clarity — live EDA web app built by Naishadh Vytla · clarityeda.netlify.app</w:t>
            </w:r>
          </w:p>
        </w:tc>
      </w:tr>
    </w:tbl>
    <w:p>
      <w:pPr>
        <w:pBdr>
          <w:bottom w:val="single" w:color="BFBFBF" w:sz="6" w:space="4"/>
        </w:pBdr>
        <w:spacing w:after="90" w:before="200"/>
      </w:pPr>
      <w:r>
        <w:rPr>
          <w:b/>
          <w:bCs/>
          <w:color w:val="1F4E79"/>
          <w:sz w:val="26"/>
          <w:szCs w:val="26"/>
        </w:rPr>
        <w:t xml:space="preserve">1.  Scope of my contribution</w:t>
      </w:r>
    </w:p>
    <w:p>
      <w:pPr>
        <w:spacing w:after="110"/>
      </w:pPr>
      <w:r>
        <w:rPr>
          <w:sz w:val="21"/>
          <w:szCs w:val="21"/>
        </w:rPr>
        <w:t xml:space="preserve">Work on this use case was divided across four members. The sections below are the ones I personally owned, end to 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DCE6F1" w:color="auto" w:val="clear"/>
            <w:tcMar>
              <w:top w:type="dxa" w:w="70"/>
              <w:left w:type="dxa" w:w="90"/>
              <w:bottom w:type="dxa" w:w="70"/>
              <w:right w:type="dxa" w:w="90"/>
            </w:tcMar>
          </w:tcPr>
          <w:p>
            <w:r>
              <w:rPr>
                <w:b/>
                <w:bCs/>
                <w:sz w:val="20"/>
                <w:szCs w:val="20"/>
              </w:rPr>
              <w:t xml:space="preserve">Area</w:t>
            </w:r>
          </w:p>
        </w:tc>
        <w:tc>
          <w:tcPr>
            <w:tcW w:type="dxa" w:w="7000"/>
            <w:shd w:fill="DCE6F1" w:color="auto" w:val="clear"/>
            <w:tcMar>
              <w:top w:type="dxa" w:w="70"/>
              <w:left w:type="dxa" w:w="90"/>
              <w:bottom w:type="dxa" w:w="70"/>
              <w:right w:type="dxa" w:w="90"/>
            </w:tcMar>
          </w:tcPr>
          <w:p>
            <w:r>
              <w:rPr>
                <w:b/>
                <w:bCs/>
                <w:sz w:val="20"/>
                <w:szCs w:val="20"/>
              </w:rPr>
              <w:t xml:space="preserve">What it covered</w:t>
            </w:r>
          </w:p>
        </w:tc>
      </w:tr>
      <w:tr>
        <w:trPr>
          <w:tblHeader w:val="false"/>
        </w:trPr>
        <w:tc>
          <w:tcPr>
            <w:tcW w:type="dxa" w:w="2400"/>
            <w:tcMar>
              <w:top w:type="dxa" w:w="70"/>
              <w:left w:type="dxa" w:w="90"/>
              <w:bottom w:type="dxa" w:w="70"/>
              <w:right w:type="dxa" w:w="90"/>
            </w:tcMar>
          </w:tcPr>
          <w:p>
            <w:r>
              <w:rPr>
                <w:b w:val="false"/>
                <w:bCs w:val="false"/>
                <w:sz w:val="20"/>
                <w:szCs w:val="20"/>
              </w:rPr>
              <w:t xml:space="preserve">Step 6</w:t>
            </w:r>
          </w:p>
        </w:tc>
        <w:tc>
          <w:tcPr>
            <w:tcW w:type="dxa" w:w="7000"/>
            <w:tcMar>
              <w:top w:type="dxa" w:w="70"/>
              <w:left w:type="dxa" w:w="90"/>
              <w:bottom w:type="dxa" w:w="70"/>
              <w:right w:type="dxa" w:w="90"/>
            </w:tcMar>
          </w:tcPr>
          <w:p>
            <w:r>
              <w:rPr>
                <w:b w:val="false"/>
                <w:bCs w:val="false"/>
                <w:sz w:val="20"/>
                <w:szCs w:val="20"/>
              </w:rPr>
              <w:t xml:space="preserve">Translating the analysis into what the team would say in the supplier review</w:t>
            </w:r>
          </w:p>
        </w:tc>
      </w:tr>
      <w:tr>
        <w:trPr>
          <w:tblHeader w:val="false"/>
        </w:trPr>
        <w:tc>
          <w:tcPr>
            <w:tcW w:type="dxa" w:w="2400"/>
            <w:tcMar>
              <w:top w:type="dxa" w:w="70"/>
              <w:left w:type="dxa" w:w="90"/>
              <w:bottom w:type="dxa" w:w="70"/>
              <w:right w:type="dxa" w:w="90"/>
            </w:tcMar>
          </w:tcPr>
          <w:p>
            <w:r>
              <w:rPr>
                <w:b w:val="false"/>
                <w:bCs w:val="false"/>
                <w:sz w:val="20"/>
                <w:szCs w:val="20"/>
              </w:rPr>
              <w:t xml:space="preserve">Step 7</w:t>
            </w:r>
          </w:p>
        </w:tc>
        <w:tc>
          <w:tcPr>
            <w:tcW w:type="dxa" w:w="7000"/>
            <w:tcMar>
              <w:top w:type="dxa" w:w="70"/>
              <w:left w:type="dxa" w:w="90"/>
              <w:bottom w:type="dxa" w:w="70"/>
              <w:right w:type="dxa" w:w="90"/>
            </w:tcMar>
          </w:tcPr>
          <w:p>
            <w:r>
              <w:rPr>
                <w:b w:val="false"/>
                <w:bCs w:val="false"/>
                <w:sz w:val="20"/>
                <w:szCs w:val="20"/>
              </w:rPr>
              <w:t xml:space="preserve">Conclusion and the 90-day action roadmap</w:t>
            </w:r>
          </w:p>
        </w:tc>
      </w:tr>
      <w:tr>
        <w:trPr>
          <w:tblHeader w:val="false"/>
        </w:trPr>
        <w:tc>
          <w:tcPr>
            <w:tcW w:type="dxa" w:w="2400"/>
            <w:tcMar>
              <w:top w:type="dxa" w:w="70"/>
              <w:left w:type="dxa" w:w="90"/>
              <w:bottom w:type="dxa" w:w="70"/>
              <w:right w:type="dxa" w:w="90"/>
            </w:tcMar>
          </w:tcPr>
          <w:p>
            <w:r>
              <w:rPr>
                <w:b w:val="false"/>
                <w:bCs w:val="false"/>
                <w:sz w:val="20"/>
                <w:szCs w:val="20"/>
              </w:rPr>
              <w:t xml:space="preserve">Cross-cutting</w:t>
            </w:r>
          </w:p>
        </w:tc>
        <w:tc>
          <w:tcPr>
            <w:tcW w:type="dxa" w:w="7000"/>
            <w:tcMar>
              <w:top w:type="dxa" w:w="70"/>
              <w:left w:type="dxa" w:w="90"/>
              <w:bottom w:type="dxa" w:w="70"/>
              <w:right w:type="dxa" w:w="90"/>
            </w:tcMar>
          </w:tcPr>
          <w:p>
            <w:r>
              <w:rPr>
                <w:b w:val="false"/>
                <w:bCs w:val="false"/>
                <w:sz w:val="20"/>
                <w:szCs w:val="20"/>
              </w:rPr>
              <w:t xml:space="preserve">Synthesising all members' findings; end-to-end QA</w:t>
            </w:r>
          </w:p>
        </w:tc>
      </w:tr>
    </w:tbl>
    <w:p>
      <w:pPr>
        <w:spacing w:after="60"/>
      </w:pPr>
      <w:r>
        <w:rPr>
          <w:b/>
          <w:bCs/>
          <w:sz w:val="21"/>
          <w:szCs w:val="21"/>
        </w:rPr>
        <w:t xml:space="preserve">Cross-cutting deliverable: </w:t>
      </w:r>
      <w:r>
        <w:rPr>
          <w:sz w:val="21"/>
          <w:szCs w:val="21"/>
        </w:rPr>
        <w:t xml:space="preserve">Insight synthesis · final QA (restart &amp; run all)</w:t>
      </w:r>
    </w:p>
    <w:p>
      <w:pPr>
        <w:pBdr>
          <w:bottom w:val="single" w:color="BFBFBF" w:sz="6" w:space="4"/>
        </w:pBdr>
        <w:spacing w:after="90" w:before="200"/>
      </w:pPr>
      <w:r>
        <w:rPr>
          <w:b/>
          <w:bCs/>
          <w:color w:val="1F4E79"/>
          <w:sz w:val="26"/>
          <w:szCs w:val="26"/>
        </w:rPr>
        <w:t xml:space="preserve">2.  What I did</w:t>
      </w:r>
    </w:p>
    <w:p>
      <w:pPr>
        <w:spacing w:after="60" w:before="160"/>
      </w:pPr>
      <w:r>
        <w:rPr>
          <w:b/>
          <w:bCs/>
          <w:color w:val="1F4E79"/>
          <w:sz w:val="23"/>
          <w:szCs w:val="23"/>
        </w:rPr>
        <w:t xml:space="preserve">What I built</w:t>
      </w:r>
    </w:p>
    <w:p>
      <w:pPr>
        <w:spacing w:after="110"/>
      </w:pPr>
      <w:r>
        <w:rPr>
          <w:sz w:val="21"/>
          <w:szCs w:val="21"/>
        </w:rPr>
        <w:t xml:space="preserve">Converted five sections of analysis into a stakeholder briefing where every claim carries a figure and an action, then structured the rollout into immediate, short-term and medium-term horizons.</w:t>
      </w:r>
    </w:p>
    <w:p>
      <w:pPr>
        <w:spacing w:after="60" w:before="160"/>
      </w:pPr>
      <w:r>
        <w:rPr>
          <w:b/>
          <w:bCs/>
          <w:color w:val="1F4E79"/>
          <w:sz w:val="23"/>
          <w:szCs w:val="23"/>
        </w:rPr>
        <w:t xml:space="preserve">The roadmap</w:t>
      </w:r>
    </w:p>
    <w:p>
      <w:pPr>
        <w:spacing w:after="110"/>
      </w:pPr>
      <w:r>
        <w:rPr>
          <w:sz w:val="21"/>
          <w:szCs w:val="21"/>
        </w:rPr>
        <w:t xml:space="preserve">Sequenced the actions so the margin leak is stopped first (days 1–30), the supplier renegotiation happens with the trendline in hand (31–60), and the COGS data gap is closed last (61–90).</w:t>
      </w:r>
    </w:p>
    <w:p>
      <w:pPr>
        <w:spacing w:after="60" w:before="160"/>
      </w:pPr>
      <w:r>
        <w:rPr>
          <w:b/>
          <w:bCs/>
          <w:color w:val="1F4E79"/>
          <w:sz w:val="23"/>
          <w:szCs w:val="23"/>
        </w:rPr>
        <w:t xml:space="preserve">QA</w:t>
      </w:r>
    </w:p>
    <w:p>
      <w:pPr>
        <w:spacing w:after="110"/>
      </w:pPr>
      <w:r>
        <w:rPr>
          <w:sz w:val="21"/>
          <w:szCs w:val="21"/>
        </w:rPr>
        <w:t xml:space="preserve">Ran restart-and-run-all across sections I did not write, to confirm the notebook executes top to bottom without hidden-state dependencies.</w:t>
      </w:r>
    </w:p>
    <w:p>
      <w:pPr>
        <w:pBdr>
          <w:bottom w:val="single" w:color="BFBFBF" w:sz="6" w:space="4"/>
        </w:pBdr>
        <w:spacing w:after="90" w:before="200"/>
      </w:pPr>
      <w:r>
        <w:rPr>
          <w:b/>
          <w:bCs/>
          <w:color w:val="1F4E79"/>
          <w:sz w:val="26"/>
          <w:szCs w:val="26"/>
        </w:rPr>
        <w:t xml:space="preserve">3.  Findings from my sections</w:t>
      </w:r>
    </w:p>
    <w:p>
      <w:pPr>
        <w:spacing w:after="80"/>
      </w:pPr>
      <w:r>
        <w:rPr>
          <w:sz w:val="21"/>
          <w:szCs w:val="21"/>
        </w:rPr>
        <w:t xml:space="preserve">Every figure below is computed from the validated dataset and reproduces in the team notebook.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00"/>
      </w:tblGrid>
      <w:tr>
        <w:trPr>
          <w:tblHeader/>
        </w:trPr>
        <w:tc>
          <w:tcPr>
            <w:tcW w:type="dxa" w:w="2500"/>
            <w:shd w:fill="DCE6F1" w:color="auto" w:val="clear"/>
            <w:tcMar>
              <w:top w:type="dxa" w:w="70"/>
              <w:left w:type="dxa" w:w="90"/>
              <w:bottom w:type="dxa" w:w="70"/>
              <w:right w:type="dxa" w:w="90"/>
            </w:tcMar>
          </w:tcPr>
          <w:p>
            <w:r>
              <w:rPr>
                <w:b/>
                <w:bCs/>
                <w:sz w:val="20"/>
                <w:szCs w:val="20"/>
              </w:rPr>
              <w:t xml:space="preserve">Item</w:t>
            </w:r>
          </w:p>
        </w:tc>
        <w:tc>
          <w:tcPr>
            <w:tcW w:type="dxa" w:w="3500"/>
            <w:shd w:fill="DCE6F1" w:color="auto" w:val="clear"/>
            <w:tcMar>
              <w:top w:type="dxa" w:w="70"/>
              <w:left w:type="dxa" w:w="90"/>
              <w:bottom w:type="dxa" w:w="70"/>
              <w:right w:type="dxa" w:w="90"/>
            </w:tcMar>
          </w:tcPr>
          <w:p>
            <w:r>
              <w:rPr>
                <w:b/>
                <w:bCs/>
                <w:sz w:val="20"/>
                <w:szCs w:val="20"/>
              </w:rPr>
              <w:t xml:space="preserve">Figure</w:t>
            </w:r>
          </w:p>
        </w:tc>
        <w:tc>
          <w:tcPr>
            <w:tcW w:type="dxa" w:w="3400"/>
            <w:shd w:fill="DCE6F1" w:color="auto" w:val="clear"/>
            <w:tcMar>
              <w:top w:type="dxa" w:w="70"/>
              <w:left w:type="dxa" w:w="90"/>
              <w:bottom w:type="dxa" w:w="70"/>
              <w:right w:type="dxa" w:w="90"/>
            </w:tcMar>
          </w:tcPr>
          <w:p>
            <w:r>
              <w:rPr>
                <w:b/>
                <w:bCs/>
                <w:sz w:val="20"/>
                <w:szCs w:val="20"/>
              </w:rPr>
              <w:t xml:space="preserve">Reading</w:t>
            </w:r>
          </w:p>
        </w:tc>
      </w:tr>
      <w:tr>
        <w:trPr>
          <w:tblHeader w:val="false"/>
        </w:trPr>
        <w:tc>
          <w:tcPr>
            <w:tcW w:type="dxa" w:w="2500"/>
            <w:tcMar>
              <w:top w:type="dxa" w:w="70"/>
              <w:left w:type="dxa" w:w="90"/>
              <w:bottom w:type="dxa" w:w="70"/>
              <w:right w:type="dxa" w:w="90"/>
            </w:tcMar>
          </w:tcPr>
          <w:p>
            <w:r>
              <w:rPr>
                <w:b w:val="false"/>
                <w:bCs w:val="false"/>
                <w:sz w:val="20"/>
                <w:szCs w:val="20"/>
              </w:rPr>
              <w:t xml:space="preserve">Back Apparel</w:t>
            </w:r>
          </w:p>
        </w:tc>
        <w:tc>
          <w:tcPr>
            <w:tcW w:type="dxa" w:w="3500"/>
            <w:tcMar>
              <w:top w:type="dxa" w:w="70"/>
              <w:left w:type="dxa" w:w="90"/>
              <w:bottom w:type="dxa" w:w="70"/>
              <w:right w:type="dxa" w:w="90"/>
            </w:tcMar>
          </w:tcPr>
          <w:p>
            <w:r>
              <w:rPr>
                <w:b w:val="false"/>
                <w:bCs w:val="false"/>
                <w:sz w:val="20"/>
                <w:szCs w:val="20"/>
              </w:rPr>
              <w:t xml:space="preserve">+34% (₹10.0M → ₹13.5M)</w:t>
            </w:r>
          </w:p>
        </w:tc>
        <w:tc>
          <w:tcPr>
            <w:tcW w:type="dxa" w:w="3400"/>
            <w:tcMar>
              <w:top w:type="dxa" w:w="70"/>
              <w:left w:type="dxa" w:w="90"/>
              <w:bottom w:type="dxa" w:w="70"/>
              <w:right w:type="dxa" w:w="90"/>
            </w:tcMar>
          </w:tcPr>
          <w:p>
            <w:r>
              <w:rPr>
                <w:b w:val="false"/>
                <w:bCs w:val="false"/>
                <w:sz w:val="20"/>
                <w:szCs w:val="20"/>
              </w:rPr>
              <w:t xml:space="preserve">Award incremental shelf space and promo funding</w:t>
            </w:r>
          </w:p>
        </w:tc>
      </w:tr>
      <w:tr>
        <w:trPr>
          <w:tblHeader w:val="false"/>
        </w:trPr>
        <w:tc>
          <w:tcPr>
            <w:tcW w:type="dxa" w:w="2500"/>
            <w:tcMar>
              <w:top w:type="dxa" w:w="70"/>
              <w:left w:type="dxa" w:w="90"/>
              <w:bottom w:type="dxa" w:w="70"/>
              <w:right w:type="dxa" w:w="90"/>
            </w:tcMar>
          </w:tcPr>
          <w:p>
            <w:r>
              <w:rPr>
                <w:b w:val="false"/>
                <w:bCs w:val="false"/>
                <w:sz w:val="20"/>
                <w:szCs w:val="20"/>
              </w:rPr>
              <w:t xml:space="preserve">Challenge Electronics</w:t>
            </w:r>
          </w:p>
        </w:tc>
        <w:tc>
          <w:tcPr>
            <w:tcW w:type="dxa" w:w="3500"/>
            <w:tcMar>
              <w:top w:type="dxa" w:w="70"/>
              <w:left w:type="dxa" w:w="90"/>
              <w:bottom w:type="dxa" w:w="70"/>
              <w:right w:type="dxa" w:w="90"/>
            </w:tcMar>
          </w:tcPr>
          <w:p>
            <w:r>
              <w:rPr>
                <w:b w:val="false"/>
                <w:bCs w:val="false"/>
                <w:sz w:val="20"/>
                <w:szCs w:val="20"/>
              </w:rPr>
              <w:t xml:space="preserve">−35%; −₹16.0M/month vs chain −₹15.5M</w:t>
            </w:r>
          </w:p>
        </w:tc>
        <w:tc>
          <w:tcPr>
            <w:tcW w:type="dxa" w:w="3400"/>
            <w:tcMar>
              <w:top w:type="dxa" w:w="70"/>
              <w:left w:type="dxa" w:w="90"/>
              <w:bottom w:type="dxa" w:w="70"/>
              <w:right w:type="dxa" w:w="90"/>
            </w:tcMar>
          </w:tcPr>
          <w:p>
            <w:r>
              <w:rPr>
                <w:b w:val="false"/>
                <w:bCs w:val="false"/>
                <w:sz w:val="20"/>
                <w:szCs w:val="20"/>
              </w:rPr>
              <w:t xml:space="preserve">Justify shelf space against trend, not size</w:t>
            </w:r>
          </w:p>
        </w:tc>
      </w:tr>
      <w:tr>
        <w:trPr>
          <w:tblHeader w:val="false"/>
        </w:trPr>
        <w:tc>
          <w:tcPr>
            <w:tcW w:type="dxa" w:w="2500"/>
            <w:tcMar>
              <w:top w:type="dxa" w:w="70"/>
              <w:left w:type="dxa" w:w="90"/>
              <w:bottom w:type="dxa" w:w="70"/>
              <w:right w:type="dxa" w:w="90"/>
            </w:tcMar>
          </w:tcPr>
          <w:p>
            <w:r>
              <w:rPr>
                <w:b w:val="false"/>
                <w:bCs w:val="false"/>
                <w:sz w:val="20"/>
                <w:szCs w:val="20"/>
              </w:rPr>
              <w:t xml:space="preserve">Pull mid-week discounting</w:t>
            </w:r>
          </w:p>
        </w:tc>
        <w:tc>
          <w:tcPr>
            <w:tcW w:type="dxa" w:w="3500"/>
            <w:tcMar>
              <w:top w:type="dxa" w:w="70"/>
              <w:left w:type="dxa" w:w="90"/>
              <w:bottom w:type="dxa" w:w="70"/>
              <w:right w:type="dxa" w:w="90"/>
            </w:tcMar>
          </w:tcPr>
          <w:p>
            <w:r>
              <w:rPr>
                <w:b w:val="false"/>
                <w:bCs w:val="false"/>
                <w:sz w:val="20"/>
                <w:szCs w:val="20"/>
              </w:rPr>
              <w:t xml:space="preserve">2.59 → 2.58 units; Sat ₹3.52M vs Mon ₹2.01M</w:t>
            </w:r>
          </w:p>
        </w:tc>
        <w:tc>
          <w:tcPr>
            <w:tcW w:type="dxa" w:w="3400"/>
            <w:tcMar>
              <w:top w:type="dxa" w:w="70"/>
              <w:left w:type="dxa" w:w="90"/>
              <w:bottom w:type="dxa" w:w="70"/>
              <w:right w:type="dxa" w:w="90"/>
            </w:tcMar>
          </w:tcPr>
          <w:p>
            <w:r>
              <w:rPr>
                <w:b w:val="false"/>
                <w:bCs w:val="false"/>
                <w:sz w:val="20"/>
                <w:szCs w:val="20"/>
              </w:rPr>
              <w:t xml:space="preserve">Concentrate promotion Thu–Sun</w:t>
            </w:r>
          </w:p>
        </w:tc>
      </w:tr>
      <w:tr>
        <w:trPr>
          <w:tblHeader w:val="false"/>
        </w:trPr>
        <w:tc>
          <w:tcPr>
            <w:tcW w:type="dxa" w:w="2500"/>
            <w:tcMar>
              <w:top w:type="dxa" w:w="70"/>
              <w:left w:type="dxa" w:w="90"/>
              <w:bottom w:type="dxa" w:w="70"/>
              <w:right w:type="dxa" w:w="90"/>
            </w:tcMar>
          </w:tcPr>
          <w:p>
            <w:r>
              <w:rPr>
                <w:b w:val="false"/>
                <w:bCs w:val="false"/>
                <w:sz w:val="20"/>
                <w:szCs w:val="20"/>
              </w:rPr>
              <w:t xml:space="preserve">Request COGS data</w:t>
            </w:r>
          </w:p>
        </w:tc>
        <w:tc>
          <w:tcPr>
            <w:tcW w:type="dxa" w:w="3500"/>
            <w:tcMar>
              <w:top w:type="dxa" w:w="70"/>
              <w:left w:type="dxa" w:w="90"/>
              <w:bottom w:type="dxa" w:w="70"/>
              <w:right w:type="dxa" w:w="90"/>
            </w:tcMar>
          </w:tcPr>
          <w:p>
            <w:r>
              <w:rPr>
                <w:b w:val="false"/>
                <w:bCs w:val="false"/>
                <w:sz w:val="20"/>
                <w:szCs w:val="20"/>
              </w:rPr>
              <w:t xml:space="preserve">Revenue-only dataset</w:t>
            </w:r>
          </w:p>
        </w:tc>
        <w:tc>
          <w:tcPr>
            <w:tcW w:type="dxa" w:w="3400"/>
            <w:tcMar>
              <w:top w:type="dxa" w:w="70"/>
              <w:left w:type="dxa" w:w="90"/>
              <w:bottom w:type="dxa" w:w="70"/>
              <w:right w:type="dxa" w:w="90"/>
            </w:tcMar>
          </w:tcPr>
          <w:p>
            <w:r>
              <w:rPr>
                <w:b w:val="false"/>
                <w:bCs w:val="false"/>
                <w:sz w:val="20"/>
                <w:szCs w:val="20"/>
              </w:rPr>
              <w:t xml:space="preserve">Confirm the calls on profit, not top line</w:t>
            </w:r>
          </w:p>
        </w:tc>
      </w:tr>
      <w:tr>
        <w:trPr>
          <w:tblHeader w:val="false"/>
        </w:trPr>
        <w:tc>
          <w:tcPr>
            <w:tcW w:type="dxa" w:w="2500"/>
            <w:tcMar>
              <w:top w:type="dxa" w:w="70"/>
              <w:left w:type="dxa" w:w="90"/>
              <w:bottom w:type="dxa" w:w="70"/>
              <w:right w:type="dxa" w:w="90"/>
            </w:tcMar>
          </w:tcPr>
          <w:p>
            <w:r>
              <w:rPr>
                <w:b w:val="false"/>
                <w:bCs w:val="false"/>
                <w:sz w:val="20"/>
                <w:szCs w:val="20"/>
              </w:rPr>
              <w:t xml:space="preserve">Notebook QA</w:t>
            </w:r>
          </w:p>
        </w:tc>
        <w:tc>
          <w:tcPr>
            <w:tcW w:type="dxa" w:w="3500"/>
            <w:tcMar>
              <w:top w:type="dxa" w:w="70"/>
              <w:left w:type="dxa" w:w="90"/>
              <w:bottom w:type="dxa" w:w="70"/>
              <w:right w:type="dxa" w:w="90"/>
            </w:tcMar>
          </w:tcPr>
          <w:p>
            <w:r>
              <w:rPr>
                <w:b w:val="false"/>
                <w:bCs w:val="false"/>
                <w:sz w:val="20"/>
                <w:szCs w:val="20"/>
              </w:rPr>
              <w:t xml:space="preserve">24 cells · 0 errors · 3 figures</w:t>
            </w:r>
          </w:p>
        </w:tc>
        <w:tc>
          <w:tcPr>
            <w:tcW w:type="dxa" w:w="3400"/>
            <w:tcMar>
              <w:top w:type="dxa" w:w="70"/>
              <w:left w:type="dxa" w:w="90"/>
              <w:bottom w:type="dxa" w:w="70"/>
              <w:right w:type="dxa" w:w="90"/>
            </w:tcMar>
          </w:tcPr>
          <w:p>
            <w:r>
              <w:rPr>
                <w:b w:val="false"/>
                <w:bCs w:val="false"/>
                <w:sz w:val="20"/>
                <w:szCs w:val="20"/>
              </w:rPr>
              <w:t xml:space="preserve">Reproduces from a clean kernel</w:t>
            </w:r>
          </w:p>
        </w:tc>
      </w:tr>
    </w:tbl>
    <w:p>
      <w:pPr>
        <w:pBdr>
          <w:bottom w:val="single" w:color="BFBFBF" w:sz="6" w:space="4"/>
        </w:pBdr>
        <w:spacing w:after="90" w:before="200"/>
      </w:pPr>
      <w:r>
        <w:rPr>
          <w:b/>
          <w:bCs/>
          <w:color w:val="1F4E79"/>
          <w:sz w:val="26"/>
          <w:szCs w:val="26"/>
        </w:rPr>
        <w:t xml:space="preserve">4.  Business interpretation</w:t>
      </w:r>
    </w:p>
    <w:p>
      <w:pPr>
        <w:spacing w:after="110"/>
      </w:pPr>
      <w:r>
        <w:rPr>
          <w:sz w:val="21"/>
          <w:szCs w:val="21"/>
        </w:rPr>
        <w:t xml:space="preserve">The briefing rests on a single reframing: Electronics' claim to be the number-one category describes where it was, not where it is heading. Electronics alone shed ₹16.0M of monthly revenue against a chain net decline of ₹15.5M, which means it accounts for the entire contraction — the rest of the portfolio is broadly stable. That converts a defensive conversation about a general slowdown into a specific, evidence-backed challenge to one supplier, while Apparel's +34% gives the Category Manager something concrete to reallocate toward. The 90-day roadmap then sequences these so the cheapest fix (stopping non-responsive discounts) lands first and the hardest dependency (margin data) is scheduled rather than assumed.</w:t>
      </w:r>
    </w:p>
    <w:p>
      <w:pPr>
        <w:pBdr>
          <w:bottom w:val="single" w:color="BFBFBF" w:sz="6" w:space="4"/>
        </w:pBdr>
        <w:spacing w:after="90" w:before="200"/>
      </w:pPr>
      <w:r>
        <w:rPr>
          <w:b/>
          <w:bCs/>
          <w:color w:val="1F4E79"/>
          <w:sz w:val="26"/>
          <w:szCs w:val="26"/>
        </w:rPr>
        <w:t xml:space="preserve">5.  What I learned</w:t>
      </w:r>
    </w:p>
    <w:p>
      <w:pPr>
        <w:spacing w:after="110"/>
      </w:pPr>
      <w:r>
        <w:rPr>
          <w:sz w:val="21"/>
          <w:szCs w:val="21"/>
        </w:rPr>
        <w:t xml:space="preserve">Writing the briefing was the hardest part of the assignment because every sentence had to carry a number and an action rather than an observation. Running restart-and-run-all on sections I had not written also showed me how easily a notebook breaks when cells depend on hidden state, and why the SSOT discipline set up in Step 1 matters for reproducibility.</w:t>
      </w:r>
    </w:p>
    <w:p>
      <w:pPr>
        <w:spacing w:after="110"/>
      </w:pPr>
      <w:r>
        <w:rPr>
          <w:b/>
          <w:bCs/>
          <w:sz w:val="21"/>
          <w:szCs w:val="21"/>
        </w:rPr>
        <w:t xml:space="preserve">From my teammates: </w:t>
      </w:r>
      <w:r>
        <w:rPr>
          <w:sz w:val="21"/>
          <w:szCs w:val="21"/>
        </w:rPr>
        <w:t xml:space="preserve">From Sushmitha's discount analysis I took the point that when a promotion runs matters as much as how deep it is. Naishadh's Clarity app also changed how I think about the roadmap's final horizon: once the COGS data arrives, re-running the analysis is a matter of uploading it rather than rebuilding the notebook.</w:t>
      </w:r>
    </w:p>
    <w:p>
      <w:pPr>
        <w:pBdr>
          <w:bottom w:val="single" w:color="BFBFBF" w:sz="6" w:space="4"/>
        </w:pBdr>
        <w:spacing w:after="90" w:before="200"/>
      </w:pPr>
      <w:r>
        <w:rPr>
          <w:b/>
          <w:bCs/>
          <w:color w:val="1F4E79"/>
          <w:sz w:val="26"/>
          <w:szCs w:val="26"/>
        </w:rPr>
        <w:t xml:space="preserve">6.  Limitation I would flag</w:t>
      </w:r>
    </w:p>
    <w:p>
      <w:pPr>
        <w:spacing w:after="110"/>
      </w:pPr>
      <w:r>
        <w:rPr>
          <w:sz w:val="21"/>
          <w:szCs w:val="21"/>
        </w:rPr>
        <w:t xml:space="preserve">The dataset carries </w:t>
      </w:r>
      <w:r>
        <w:rPr>
          <w:b/>
          <w:bCs/>
          <w:sz w:val="21"/>
          <w:szCs w:val="21"/>
        </w:rPr>
        <w:t xml:space="preserve">revenue only — no cost or margin data</w:t>
      </w:r>
      <w:r>
        <w:rPr>
          <w:sz w:val="21"/>
          <w:szCs w:val="21"/>
        </w:rPr>
        <w:t xml:space="preserve">. A growing category could still be low-margin and a declining one highly profitable, so every recommendation here rests on top-line performance. Category-level COGS, and ideally footfall counts to separate demand shifts from basket-size effects, would be needed to confirm these calls on profit.</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2026-09-18T20:14:54.138Z</dcterms:created>
  <dcterms:modified xsi:type="dcterms:W3CDTF">2026-09-18T20:14:54.138Z</dcterms:modified>
</cp:coreProperties>
</file>

<file path=docProps/custom.xml><?xml version="1.0" encoding="utf-8"?>
<Properties xmlns="http://schemas.openxmlformats.org/officeDocument/2006/custom-properties" xmlns:vt="http://schemas.openxmlformats.org/officeDocument/2006/docPropsVTypes"/>
</file>