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4"/>
          <w:szCs w:val="34"/>
        </w:rPr>
        <w:t xml:space="preserve">Individual Contribution Report</w:t>
      </w:r>
    </w:p>
    <w:p>
      <w:pPr>
        <w:spacing w:after="40"/>
      </w:pPr>
      <w:r>
        <w:rPr>
          <w:color w:val="595959"/>
          <w:sz w:val="24"/>
          <w:szCs w:val="24"/>
        </w:rPr>
        <w:t xml:space="preserve">Sushmitha  ·  Promotion Effectiveness &amp; Insight Reporting</w:t>
      </w:r>
    </w:p>
    <w:p>
      <w:pPr>
        <w:pBdr>
          <w:bottom w:val="single" w:color="1F4E79" w:sz="8" w:space="6"/>
        </w:pBdr>
        <w:spacing w:after="180"/>
      </w:pPr>
      <w:r>
        <w:rPr>
          <w:i/>
          <w:iCs/>
          <w:color w:val="595959"/>
          <w:sz w:val="19"/>
          <w:szCs w:val="19"/>
        </w:rPr>
        <w:t xml:space="preserve">Calibo AI Academy · Path 2 · KLU Batch 16 · Phase 1 — Mini Use Case 01 · Category Intelligence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case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MUC01 — Category Intelligence: Retail Product Performance EDA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16 — Naishadh Vytla · Nakul Sriraj · Sushmitha · Adi Seshu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MUC01_Retail_Sales_Dataset.csv — 107,836 transactions, Jan–Jun 2026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· Google Colab · Pandas · NumPy · Matplotlib · Seaborn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extension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 — live EDA web app built by Naishadh Vytla · clarityeda.netlify.app</w:t>
            </w:r>
          </w:p>
        </w:tc>
      </w:tr>
    </w:tbl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1.  Scope of my contribution</w:t>
      </w:r>
    </w:p>
    <w:p>
      <w:pPr>
        <w:spacing w:after="110"/>
      </w:pPr>
      <w:r>
        <w:rPr>
          <w:sz w:val="21"/>
          <w:szCs w:val="21"/>
        </w:rPr>
        <w:t xml:space="preserve">Work on this use case was divided across four members. The sections below are the ones I personally owned, end to end.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70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covered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Whether the discount ladder generates incremental volume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Day-of-week and monthly demand patterns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Drafting the team insight summary document</w:t>
            </w:r>
          </w:p>
        </w:tc>
      </w:tr>
    </w:tbl>
    <w:p>
      <w:pPr>
        <w:spacing w:after="60"/>
      </w:pPr>
      <w:r>
        <w:rPr>
          <w:b/>
          <w:bCs/>
          <w:sz w:val="21"/>
          <w:szCs w:val="21"/>
        </w:rPr>
        <w:t xml:space="preserve">Cross-cutting deliverable: </w:t>
      </w:r>
      <w:r>
        <w:rPr>
          <w:sz w:val="21"/>
          <w:szCs w:val="21"/>
        </w:rPr>
        <w:t xml:space="preserve">Team insight summary report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2.  What I did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What I built</w:t>
      </w:r>
    </w:p>
    <w:p>
      <w:pPr>
        <w:spacing w:after="110"/>
      </w:pPr>
      <w:r>
        <w:rPr>
          <w:sz w:val="21"/>
          <w:szCs w:val="21"/>
        </w:rPr>
        <w:t xml:space="preserve">Grouped all 107,836 transactions by discount level (0/5/10/15/20%) and compared two measures side by side: average revenue per transaction and average units sold per transaction.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Why both measures</w:t>
      </w:r>
    </w:p>
    <w:p>
      <w:pPr>
        <w:spacing w:after="110"/>
      </w:pPr>
      <w:r>
        <w:rPr>
          <w:sz w:val="21"/>
          <w:szCs w:val="21"/>
        </w:rPr>
        <w:t xml:space="preserve">Revenue alone cannot answer whether a discount worked — it falls mechanically when you discount. Only the volume measure shows whether the discount bought anything in return.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Step 5 — timing</w:t>
      </w:r>
    </w:p>
    <w:p>
      <w:pPr>
        <w:spacing w:after="110"/>
      </w:pPr>
      <w:r>
        <w:rPr>
          <w:sz w:val="21"/>
          <w:szCs w:val="21"/>
        </w:rPr>
        <w:t xml:space="preserve">Computed average daily revenue by weekday and total revenue by month to establish when demand naturally peaks.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3.  Findings from my sections</w:t>
      </w:r>
    </w:p>
    <w:p>
      <w:pPr>
        <w:spacing w:after="80"/>
      </w:pPr>
      <w:r>
        <w:rPr>
          <w:sz w:val="21"/>
          <w:szCs w:val="21"/>
        </w:rPr>
        <w:t xml:space="preserve">Every figure below is computed from the validated dataset and reproduces in the team notebook.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400"/>
      </w:tblGrid>
      <w:tr>
        <w:trPr>
          <w:tblHeader/>
        </w:trPr>
        <w:tc>
          <w:tcPr>
            <w:tcW w:type="dxa" w:w="25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Figure</w:t>
            </w:r>
          </w:p>
        </w:tc>
        <w:tc>
          <w:tcPr>
            <w:tcW w:type="dxa" w:w="34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 discount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₹4,686 per transaction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2.59 units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 discount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₹4,006 per transaction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2.57 units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 discount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₹3,632 per transaction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2.58 units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effect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per transaction −22%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Units unchanged (2.59 → 2.58)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Weekday pattern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Saturday ₹3.52M vs Monday ₹2.01M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Saturday earns ~75% more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pattern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₹84.8M (Jan) → ₹69.3M (Jun)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Chain revenue declines across the half-year</w:t>
            </w:r>
          </w:p>
        </w:tc>
      </w:tr>
    </w:tbl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4.  Business interpretation</w:t>
      </w:r>
    </w:p>
    <w:p>
      <w:pPr>
        <w:spacing w:after="110"/>
      </w:pPr>
      <w:r>
        <w:rPr>
          <w:sz w:val="21"/>
          <w:szCs w:val="21"/>
        </w:rPr>
        <w:t xml:space="preserve">This is the clearest result in the analysis and it takes a definite side: the discount ladder is not a growth lever, it is a margin giveaway. Units sold sit at roughly 2.58 whether a customer receives no discount or the full 20%, while revenue per transaction falls about 22% across that range. Two-thirds of transactions carry some discount, so the chain is systematically handing back margin on sales that would have occurred anyway. The timing analysis sharpens the recommendation: since Saturday earns about 75% more than Monday, mid-week discounting is the least defensible spend of all — it discounts the days demand is already weakest, instead of concentrating promotion Thursday to Sunday when customers are already arriving.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5.  What I learned</w:t>
      </w:r>
    </w:p>
    <w:p>
      <w:pPr>
        <w:spacing w:after="110"/>
      </w:pPr>
      <w:r>
        <w:rPr>
          <w:sz w:val="21"/>
          <w:szCs w:val="21"/>
        </w:rPr>
        <w:t xml:space="preserve">Comparing revenue against volume at each discount level was the turning point; it converted a vague suspicion into a defensible position. Taking that position in writing, rather than presenting the chart and leaving the reader to conclude, was harder than the code. Condensing the team's work into a short report also taught me how much detail has to be removed before a finding becomes usable to someone walking into a meeting.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From my teammates: </w:t>
      </w:r>
      <w:r>
        <w:rPr>
          <w:sz w:val="21"/>
          <w:szCs w:val="21"/>
        </w:rPr>
        <w:t xml:space="preserve">From Adi Seshu's product analysis I learned that a clearly stated negative finding is still a finding, and often reframes the whole recommendation. Writing the report alongside Naishadh's Clarity app, which generates the same report structure automatically, also clarified which parts of a write-up are mechanical and which genuinely need a human judgement call.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6.  Limitation I would flag</w:t>
      </w:r>
    </w:p>
    <w:p>
      <w:pPr>
        <w:spacing w:after="110"/>
      </w:pPr>
      <w:r>
        <w:rPr>
          <w:sz w:val="21"/>
          <w:szCs w:val="21"/>
        </w:rPr>
        <w:t xml:space="preserve">The dataset carries </w:t>
      </w:r>
      <w:r>
        <w:rPr>
          <w:b/>
          <w:bCs/>
          <w:sz w:val="21"/>
          <w:szCs w:val="21"/>
        </w:rPr>
        <w:t xml:space="preserve">revenue only — no cost or margin data</w:t>
      </w:r>
      <w:r>
        <w:rPr>
          <w:sz w:val="21"/>
          <w:szCs w:val="21"/>
        </w:rPr>
        <w:t xml:space="preserve">. A growing category could still be low-margin and a declining one highly profitable, so every recommendation here rests on top-line performance. Category-level COGS, and ideally footfall counts to separate demand shifts from basket-size effects, would be needed to confirm these calls on profit.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2026-09-18T20:14:54.110Z</dcterms:created>
  <dcterms:modified xsi:type="dcterms:W3CDTF">2026-09-18T20:14:54.110Z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