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B6F9" w14:textId="77777777" w:rsidR="00392E21" w:rsidRDefault="00A72C63">
      <w:pPr>
        <w:spacing w:after="30"/>
      </w:pPr>
      <w:r>
        <w:rPr>
          <w:b/>
          <w:bCs/>
          <w:color w:val="1F4E79"/>
          <w:sz w:val="34"/>
          <w:szCs w:val="34"/>
        </w:rPr>
        <w:t>Individual Contribution Report</w:t>
      </w:r>
    </w:p>
    <w:p w14:paraId="05415483" w14:textId="77777777" w:rsidR="00392E21" w:rsidRDefault="00A72C63">
      <w:pPr>
        <w:spacing w:after="40"/>
      </w:pPr>
      <w:r>
        <w:rPr>
          <w:color w:val="595959"/>
          <w:sz w:val="24"/>
          <w:szCs w:val="24"/>
        </w:rPr>
        <w:t xml:space="preserve">Adi </w:t>
      </w:r>
      <w:proofErr w:type="gramStart"/>
      <w:r>
        <w:rPr>
          <w:color w:val="595959"/>
          <w:sz w:val="24"/>
          <w:szCs w:val="24"/>
        </w:rPr>
        <w:t>Seshu  ·</w:t>
      </w:r>
      <w:proofErr w:type="gramEnd"/>
      <w:r>
        <w:rPr>
          <w:color w:val="595959"/>
          <w:sz w:val="24"/>
          <w:szCs w:val="24"/>
        </w:rPr>
        <w:t xml:space="preserve">  Category Trend &amp; Product-Level Analysis</w:t>
      </w:r>
    </w:p>
    <w:p w14:paraId="3653E85A" w14:textId="77777777" w:rsidR="00392E21" w:rsidRDefault="00A72C63">
      <w:pPr>
        <w:pBdr>
          <w:bottom w:val="single" w:sz="8" w:space="6" w:color="1F4E79"/>
        </w:pBdr>
        <w:spacing w:after="180"/>
      </w:pPr>
      <w:r>
        <w:rPr>
          <w:i/>
          <w:iCs/>
          <w:color w:val="595959"/>
          <w:sz w:val="19"/>
          <w:szCs w:val="19"/>
        </w:rPr>
        <w:t>Calibo AI Academy · Path 2 · KLU Batch 16 · Phase 1 — Mini Use Case 01 · Category Intelligence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392E21" w14:paraId="3D38AA4C" w14:textId="77777777">
        <w:tblPrEx>
          <w:tblCellMar>
            <w:top w:w="0" w:type="dxa"/>
            <w:bottom w:w="0" w:type="dxa"/>
          </w:tblCellMar>
        </w:tblPrEx>
        <w:trPr>
          <w:tblHeader/>
        </w:trPr>
        <w:tc>
          <w:tcPr>
            <w:tcW w:w="2400" w:type="dxa"/>
            <w:shd w:val="clear" w:color="auto" w:fill="DCE6F1"/>
            <w:tcMar>
              <w:top w:w="70" w:type="dxa"/>
              <w:left w:w="90" w:type="dxa"/>
              <w:bottom w:w="70" w:type="dxa"/>
              <w:right w:w="90" w:type="dxa"/>
            </w:tcMar>
          </w:tcPr>
          <w:p w14:paraId="4C059877" w14:textId="77777777" w:rsidR="00392E21" w:rsidRDefault="00A72C63">
            <w:r>
              <w:rPr>
                <w:b/>
                <w:bCs/>
                <w:sz w:val="20"/>
                <w:szCs w:val="20"/>
              </w:rPr>
              <w:t>Field</w:t>
            </w:r>
          </w:p>
        </w:tc>
        <w:tc>
          <w:tcPr>
            <w:tcW w:w="7000" w:type="dxa"/>
            <w:shd w:val="clear" w:color="auto" w:fill="DCE6F1"/>
            <w:tcMar>
              <w:top w:w="70" w:type="dxa"/>
              <w:left w:w="90" w:type="dxa"/>
              <w:bottom w:w="70" w:type="dxa"/>
              <w:right w:w="90" w:type="dxa"/>
            </w:tcMar>
          </w:tcPr>
          <w:p w14:paraId="0DB6E9EC" w14:textId="77777777" w:rsidR="00392E21" w:rsidRDefault="00A72C63">
            <w:r>
              <w:rPr>
                <w:b/>
                <w:bCs/>
                <w:sz w:val="20"/>
                <w:szCs w:val="20"/>
              </w:rPr>
              <w:t>Details</w:t>
            </w:r>
          </w:p>
        </w:tc>
      </w:tr>
      <w:tr w:rsidR="00392E21" w14:paraId="00BF2A6B" w14:textId="77777777">
        <w:tblPrEx>
          <w:tblCellMar>
            <w:top w:w="0" w:type="dxa"/>
            <w:bottom w:w="0" w:type="dxa"/>
          </w:tblCellMar>
        </w:tblPrEx>
        <w:tc>
          <w:tcPr>
            <w:tcW w:w="2400" w:type="dxa"/>
            <w:tcMar>
              <w:top w:w="70" w:type="dxa"/>
              <w:left w:w="90" w:type="dxa"/>
              <w:bottom w:w="70" w:type="dxa"/>
              <w:right w:w="90" w:type="dxa"/>
            </w:tcMar>
          </w:tcPr>
          <w:p w14:paraId="41E9FBDA" w14:textId="77777777" w:rsidR="00392E21" w:rsidRDefault="00A72C63">
            <w:r>
              <w:rPr>
                <w:sz w:val="20"/>
                <w:szCs w:val="20"/>
              </w:rPr>
              <w:t>Use case</w:t>
            </w:r>
          </w:p>
        </w:tc>
        <w:tc>
          <w:tcPr>
            <w:tcW w:w="7000" w:type="dxa"/>
            <w:tcMar>
              <w:top w:w="70" w:type="dxa"/>
              <w:left w:w="90" w:type="dxa"/>
              <w:bottom w:w="70" w:type="dxa"/>
              <w:right w:w="90" w:type="dxa"/>
            </w:tcMar>
          </w:tcPr>
          <w:p w14:paraId="486FB6A8" w14:textId="77777777" w:rsidR="00392E21" w:rsidRDefault="00A72C63">
            <w:r>
              <w:rPr>
                <w:sz w:val="20"/>
                <w:szCs w:val="20"/>
              </w:rPr>
              <w:t>MUC01 — Category Intelligence: Retail Product Performance EDA</w:t>
            </w:r>
          </w:p>
        </w:tc>
      </w:tr>
      <w:tr w:rsidR="00392E21" w14:paraId="7A93666C" w14:textId="77777777">
        <w:tblPrEx>
          <w:tblCellMar>
            <w:top w:w="0" w:type="dxa"/>
            <w:bottom w:w="0" w:type="dxa"/>
          </w:tblCellMar>
        </w:tblPrEx>
        <w:tc>
          <w:tcPr>
            <w:tcW w:w="2400" w:type="dxa"/>
            <w:tcMar>
              <w:top w:w="70" w:type="dxa"/>
              <w:left w:w="90" w:type="dxa"/>
              <w:bottom w:w="70" w:type="dxa"/>
              <w:right w:w="90" w:type="dxa"/>
            </w:tcMar>
          </w:tcPr>
          <w:p w14:paraId="40CB071D" w14:textId="77777777" w:rsidR="00392E21" w:rsidRDefault="00A72C63">
            <w:r>
              <w:rPr>
                <w:sz w:val="20"/>
                <w:szCs w:val="20"/>
              </w:rPr>
              <w:t>Team</w:t>
            </w:r>
          </w:p>
        </w:tc>
        <w:tc>
          <w:tcPr>
            <w:tcW w:w="7000" w:type="dxa"/>
            <w:tcMar>
              <w:top w:w="70" w:type="dxa"/>
              <w:left w:w="90" w:type="dxa"/>
              <w:bottom w:w="70" w:type="dxa"/>
              <w:right w:w="90" w:type="dxa"/>
            </w:tcMar>
          </w:tcPr>
          <w:p w14:paraId="47DCBEE0" w14:textId="77777777" w:rsidR="00392E21" w:rsidRDefault="00A72C63">
            <w:r>
              <w:rPr>
                <w:sz w:val="20"/>
                <w:szCs w:val="20"/>
              </w:rPr>
              <w:t xml:space="preserve">Batch 16 — Naishadh </w:t>
            </w:r>
            <w:proofErr w:type="spellStart"/>
            <w:r>
              <w:rPr>
                <w:sz w:val="20"/>
                <w:szCs w:val="20"/>
              </w:rPr>
              <w:t>Vytla</w:t>
            </w:r>
            <w:proofErr w:type="spellEnd"/>
            <w:r>
              <w:rPr>
                <w:sz w:val="20"/>
                <w:szCs w:val="20"/>
              </w:rPr>
              <w:t xml:space="preserve"> · Nakul Sriraj · Sushmitha · Adi Seshu</w:t>
            </w:r>
          </w:p>
        </w:tc>
      </w:tr>
      <w:tr w:rsidR="00392E21" w14:paraId="74EF0C37" w14:textId="77777777">
        <w:tblPrEx>
          <w:tblCellMar>
            <w:top w:w="0" w:type="dxa"/>
            <w:bottom w:w="0" w:type="dxa"/>
          </w:tblCellMar>
        </w:tblPrEx>
        <w:tc>
          <w:tcPr>
            <w:tcW w:w="2400" w:type="dxa"/>
            <w:tcMar>
              <w:top w:w="70" w:type="dxa"/>
              <w:left w:w="90" w:type="dxa"/>
              <w:bottom w:w="70" w:type="dxa"/>
              <w:right w:w="90" w:type="dxa"/>
            </w:tcMar>
          </w:tcPr>
          <w:p w14:paraId="03CD2F47" w14:textId="77777777" w:rsidR="00392E21" w:rsidRDefault="00A72C63">
            <w:r>
              <w:rPr>
                <w:sz w:val="20"/>
                <w:szCs w:val="20"/>
              </w:rPr>
              <w:t>Dataset</w:t>
            </w:r>
          </w:p>
        </w:tc>
        <w:tc>
          <w:tcPr>
            <w:tcW w:w="7000" w:type="dxa"/>
            <w:tcMar>
              <w:top w:w="70" w:type="dxa"/>
              <w:left w:w="90" w:type="dxa"/>
              <w:bottom w:w="70" w:type="dxa"/>
              <w:right w:w="90" w:type="dxa"/>
            </w:tcMar>
          </w:tcPr>
          <w:p w14:paraId="719B7BF3" w14:textId="77777777" w:rsidR="00392E21" w:rsidRDefault="00A72C63">
            <w:r>
              <w:rPr>
                <w:sz w:val="20"/>
                <w:szCs w:val="20"/>
              </w:rPr>
              <w:t>MUC01_Retail_Sales_Dataset.csv — 107,836 transactions, Jan–Jun 2026</w:t>
            </w:r>
          </w:p>
        </w:tc>
      </w:tr>
      <w:tr w:rsidR="00392E21" w14:paraId="43EE12C4" w14:textId="77777777">
        <w:tblPrEx>
          <w:tblCellMar>
            <w:top w:w="0" w:type="dxa"/>
            <w:bottom w:w="0" w:type="dxa"/>
          </w:tblCellMar>
        </w:tblPrEx>
        <w:tc>
          <w:tcPr>
            <w:tcW w:w="2400" w:type="dxa"/>
            <w:tcMar>
              <w:top w:w="70" w:type="dxa"/>
              <w:left w:w="90" w:type="dxa"/>
              <w:bottom w:w="70" w:type="dxa"/>
              <w:right w:w="90" w:type="dxa"/>
            </w:tcMar>
          </w:tcPr>
          <w:p w14:paraId="11B48C66" w14:textId="77777777" w:rsidR="00392E21" w:rsidRDefault="00A72C63">
            <w:r>
              <w:rPr>
                <w:sz w:val="20"/>
                <w:szCs w:val="20"/>
              </w:rPr>
              <w:t>Tools</w:t>
            </w:r>
          </w:p>
        </w:tc>
        <w:tc>
          <w:tcPr>
            <w:tcW w:w="7000" w:type="dxa"/>
            <w:tcMar>
              <w:top w:w="70" w:type="dxa"/>
              <w:left w:w="90" w:type="dxa"/>
              <w:bottom w:w="70" w:type="dxa"/>
              <w:right w:w="90" w:type="dxa"/>
            </w:tcMar>
          </w:tcPr>
          <w:p w14:paraId="567AE69E" w14:textId="77777777" w:rsidR="00392E21" w:rsidRDefault="00A72C63">
            <w:r>
              <w:rPr>
                <w:sz w:val="20"/>
                <w:szCs w:val="20"/>
              </w:rPr>
              <w:t xml:space="preserve">Python · Google </w:t>
            </w:r>
            <w:proofErr w:type="spellStart"/>
            <w:r>
              <w:rPr>
                <w:sz w:val="20"/>
                <w:szCs w:val="20"/>
              </w:rPr>
              <w:t>Colab</w:t>
            </w:r>
            <w:proofErr w:type="spellEnd"/>
            <w:r>
              <w:rPr>
                <w:sz w:val="20"/>
                <w:szCs w:val="20"/>
              </w:rPr>
              <w:t xml:space="preserve"> · Pandas · NumPy · Matplotlib · Seaborn</w:t>
            </w:r>
          </w:p>
        </w:tc>
      </w:tr>
      <w:tr w:rsidR="00392E21" w14:paraId="1ADBF71A" w14:textId="77777777">
        <w:tblPrEx>
          <w:tblCellMar>
            <w:top w:w="0" w:type="dxa"/>
            <w:bottom w:w="0" w:type="dxa"/>
          </w:tblCellMar>
        </w:tblPrEx>
        <w:tc>
          <w:tcPr>
            <w:tcW w:w="2400" w:type="dxa"/>
            <w:tcMar>
              <w:top w:w="70" w:type="dxa"/>
              <w:left w:w="90" w:type="dxa"/>
              <w:bottom w:w="70" w:type="dxa"/>
              <w:right w:w="90" w:type="dxa"/>
            </w:tcMar>
          </w:tcPr>
          <w:p w14:paraId="1F52BB1A" w14:textId="77777777" w:rsidR="00392E21" w:rsidRDefault="00A72C63">
            <w:r>
              <w:rPr>
                <w:sz w:val="20"/>
                <w:szCs w:val="20"/>
              </w:rPr>
              <w:t>Team extension</w:t>
            </w:r>
          </w:p>
        </w:tc>
        <w:tc>
          <w:tcPr>
            <w:tcW w:w="7000" w:type="dxa"/>
            <w:tcMar>
              <w:top w:w="70" w:type="dxa"/>
              <w:left w:w="90" w:type="dxa"/>
              <w:bottom w:w="70" w:type="dxa"/>
              <w:right w:w="90" w:type="dxa"/>
            </w:tcMar>
          </w:tcPr>
          <w:p w14:paraId="43E09C60" w14:textId="77777777" w:rsidR="00392E21" w:rsidRDefault="00A72C63">
            <w:r>
              <w:rPr>
                <w:sz w:val="20"/>
                <w:szCs w:val="20"/>
              </w:rPr>
              <w:t xml:space="preserve">Clarity — live EDA web app built by Naishadh Vytla · </w:t>
            </w:r>
            <w:proofErr w:type="spellStart"/>
            <w:r>
              <w:rPr>
                <w:sz w:val="20"/>
                <w:szCs w:val="20"/>
              </w:rPr>
              <w:t>clarityeda.netlify.app</w:t>
            </w:r>
            <w:proofErr w:type="spellEnd"/>
          </w:p>
        </w:tc>
      </w:tr>
    </w:tbl>
    <w:p w14:paraId="03A36D53" w14:textId="77777777" w:rsidR="00392E21" w:rsidRDefault="00A72C63">
      <w:pPr>
        <w:pBdr>
          <w:bottom w:val="single" w:sz="6" w:space="4" w:color="BFBFBF"/>
        </w:pBdr>
        <w:spacing w:before="200" w:after="90"/>
      </w:pPr>
      <w:r>
        <w:rPr>
          <w:b/>
          <w:bCs/>
          <w:color w:val="1F4E79"/>
          <w:sz w:val="26"/>
          <w:szCs w:val="26"/>
        </w:rPr>
        <w:t>1.  Scope of my contribution</w:t>
      </w:r>
    </w:p>
    <w:p w14:paraId="2FA5CA91" w14:textId="77777777" w:rsidR="00392E21" w:rsidRDefault="00A72C63">
      <w:pPr>
        <w:spacing w:after="110"/>
      </w:pPr>
      <w:r>
        <w:t>Work on this use case was divided across four members. The sections below are the ones I personally owned, end to end.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392E21" w14:paraId="29ECF876" w14:textId="77777777">
        <w:tblPrEx>
          <w:tblCellMar>
            <w:top w:w="0" w:type="dxa"/>
            <w:bottom w:w="0" w:type="dxa"/>
          </w:tblCellMar>
        </w:tblPrEx>
        <w:trPr>
          <w:tblHeader/>
        </w:trPr>
        <w:tc>
          <w:tcPr>
            <w:tcW w:w="2400" w:type="dxa"/>
            <w:shd w:val="clear" w:color="auto" w:fill="DCE6F1"/>
            <w:tcMar>
              <w:top w:w="70" w:type="dxa"/>
              <w:left w:w="90" w:type="dxa"/>
              <w:bottom w:w="70" w:type="dxa"/>
              <w:right w:w="90" w:type="dxa"/>
            </w:tcMar>
          </w:tcPr>
          <w:p w14:paraId="0658E61C" w14:textId="77777777" w:rsidR="00392E21" w:rsidRDefault="00A72C63">
            <w:r>
              <w:rPr>
                <w:b/>
                <w:bCs/>
                <w:sz w:val="20"/>
                <w:szCs w:val="20"/>
              </w:rPr>
              <w:t>Area</w:t>
            </w:r>
          </w:p>
        </w:tc>
        <w:tc>
          <w:tcPr>
            <w:tcW w:w="7000" w:type="dxa"/>
            <w:shd w:val="clear" w:color="auto" w:fill="DCE6F1"/>
            <w:tcMar>
              <w:top w:w="70" w:type="dxa"/>
              <w:left w:w="90" w:type="dxa"/>
              <w:bottom w:w="70" w:type="dxa"/>
              <w:right w:w="90" w:type="dxa"/>
            </w:tcMar>
          </w:tcPr>
          <w:p w14:paraId="1B8073F3" w14:textId="77777777" w:rsidR="00392E21" w:rsidRDefault="00A72C63">
            <w:r>
              <w:rPr>
                <w:b/>
                <w:bCs/>
                <w:sz w:val="20"/>
                <w:szCs w:val="20"/>
              </w:rPr>
              <w:t>What it covered</w:t>
            </w:r>
          </w:p>
        </w:tc>
      </w:tr>
      <w:tr w:rsidR="00392E21" w14:paraId="34FDE0B3" w14:textId="77777777">
        <w:tblPrEx>
          <w:tblCellMar>
            <w:top w:w="0" w:type="dxa"/>
            <w:bottom w:w="0" w:type="dxa"/>
          </w:tblCellMar>
        </w:tblPrEx>
        <w:tc>
          <w:tcPr>
            <w:tcW w:w="2400" w:type="dxa"/>
            <w:tcMar>
              <w:top w:w="70" w:type="dxa"/>
              <w:left w:w="90" w:type="dxa"/>
              <w:bottom w:w="70" w:type="dxa"/>
              <w:right w:w="90" w:type="dxa"/>
            </w:tcMar>
          </w:tcPr>
          <w:p w14:paraId="03048FC7" w14:textId="77777777" w:rsidR="00392E21" w:rsidRDefault="00A72C63">
            <w:r>
              <w:rPr>
                <w:sz w:val="20"/>
                <w:szCs w:val="20"/>
              </w:rPr>
              <w:t>Step 2</w:t>
            </w:r>
          </w:p>
        </w:tc>
        <w:tc>
          <w:tcPr>
            <w:tcW w:w="7000" w:type="dxa"/>
            <w:tcMar>
              <w:top w:w="70" w:type="dxa"/>
              <w:left w:w="90" w:type="dxa"/>
              <w:bottom w:w="70" w:type="dxa"/>
              <w:right w:w="90" w:type="dxa"/>
            </w:tcMar>
          </w:tcPr>
          <w:p w14:paraId="610C6EA7" w14:textId="77777777" w:rsidR="00392E21" w:rsidRDefault="00A72C63">
            <w:r>
              <w:rPr>
                <w:sz w:val="20"/>
                <w:szCs w:val="20"/>
              </w:rPr>
              <w:t>Category revenue trend across the six-month period</w:t>
            </w:r>
          </w:p>
        </w:tc>
      </w:tr>
      <w:tr w:rsidR="00392E21" w14:paraId="12D99427" w14:textId="77777777">
        <w:tblPrEx>
          <w:tblCellMar>
            <w:top w:w="0" w:type="dxa"/>
            <w:bottom w:w="0" w:type="dxa"/>
          </w:tblCellMar>
        </w:tblPrEx>
        <w:tc>
          <w:tcPr>
            <w:tcW w:w="2400" w:type="dxa"/>
            <w:tcMar>
              <w:top w:w="70" w:type="dxa"/>
              <w:left w:w="90" w:type="dxa"/>
              <w:bottom w:w="70" w:type="dxa"/>
              <w:right w:w="90" w:type="dxa"/>
            </w:tcMar>
          </w:tcPr>
          <w:p w14:paraId="0AA21051" w14:textId="77777777" w:rsidR="00392E21" w:rsidRDefault="00A72C63">
            <w:r>
              <w:rPr>
                <w:sz w:val="20"/>
                <w:szCs w:val="20"/>
              </w:rPr>
              <w:t>Step 3</w:t>
            </w:r>
          </w:p>
        </w:tc>
        <w:tc>
          <w:tcPr>
            <w:tcW w:w="7000" w:type="dxa"/>
            <w:tcMar>
              <w:top w:w="70" w:type="dxa"/>
              <w:left w:w="90" w:type="dxa"/>
              <w:bottom w:w="70" w:type="dxa"/>
              <w:right w:w="90" w:type="dxa"/>
            </w:tcMar>
          </w:tcPr>
          <w:p w14:paraId="0658AC60" w14:textId="77777777" w:rsidR="00392E21" w:rsidRDefault="00A72C63">
            <w:r>
              <w:rPr>
                <w:sz w:val="20"/>
                <w:szCs w:val="20"/>
              </w:rPr>
              <w:t>Top and bottom performing products within every category</w:t>
            </w:r>
          </w:p>
        </w:tc>
      </w:tr>
      <w:tr w:rsidR="00392E21" w14:paraId="5618EC39" w14:textId="77777777">
        <w:tblPrEx>
          <w:tblCellMar>
            <w:top w:w="0" w:type="dxa"/>
            <w:bottom w:w="0" w:type="dxa"/>
          </w:tblCellMar>
        </w:tblPrEx>
        <w:tc>
          <w:tcPr>
            <w:tcW w:w="2400" w:type="dxa"/>
            <w:tcMar>
              <w:top w:w="70" w:type="dxa"/>
              <w:left w:w="90" w:type="dxa"/>
              <w:bottom w:w="70" w:type="dxa"/>
              <w:right w:w="90" w:type="dxa"/>
            </w:tcMar>
          </w:tcPr>
          <w:p w14:paraId="40155543" w14:textId="77777777" w:rsidR="00392E21" w:rsidRDefault="00A72C63">
            <w:r>
              <w:rPr>
                <w:sz w:val="20"/>
                <w:szCs w:val="20"/>
              </w:rPr>
              <w:t>Cross-cutting</w:t>
            </w:r>
          </w:p>
        </w:tc>
        <w:tc>
          <w:tcPr>
            <w:tcW w:w="7000" w:type="dxa"/>
            <w:tcMar>
              <w:top w:w="70" w:type="dxa"/>
              <w:left w:w="90" w:type="dxa"/>
              <w:bottom w:w="70" w:type="dxa"/>
              <w:right w:w="90" w:type="dxa"/>
            </w:tcMar>
          </w:tcPr>
          <w:p w14:paraId="0D74D4EB" w14:textId="77777777" w:rsidR="00392E21" w:rsidRDefault="00A72C63">
            <w:r>
              <w:rPr>
                <w:sz w:val="20"/>
                <w:szCs w:val="20"/>
              </w:rPr>
              <w:t>Chart palette and labelling consistency across all sections</w:t>
            </w:r>
          </w:p>
        </w:tc>
      </w:tr>
    </w:tbl>
    <w:p w14:paraId="152B3109" w14:textId="77777777" w:rsidR="00392E21" w:rsidRDefault="00A72C63">
      <w:pPr>
        <w:spacing w:after="60"/>
      </w:pPr>
      <w:r>
        <w:rPr>
          <w:b/>
          <w:bCs/>
        </w:rPr>
        <w:t xml:space="preserve">Cross-cutting deliverable: </w:t>
      </w:r>
      <w:r>
        <w:t>Chart style consistency pass · QA support</w:t>
      </w:r>
    </w:p>
    <w:p w14:paraId="3504D015" w14:textId="77777777" w:rsidR="00392E21" w:rsidRDefault="00A72C63">
      <w:pPr>
        <w:pBdr>
          <w:bottom w:val="single" w:sz="6" w:space="4" w:color="BFBFBF"/>
        </w:pBdr>
        <w:spacing w:before="200" w:after="90"/>
      </w:pPr>
      <w:r>
        <w:rPr>
          <w:b/>
          <w:bCs/>
          <w:color w:val="1F4E79"/>
          <w:sz w:val="26"/>
          <w:szCs w:val="26"/>
        </w:rPr>
        <w:t>2.  What I did</w:t>
      </w:r>
    </w:p>
    <w:p w14:paraId="14AF76BF" w14:textId="77777777" w:rsidR="00392E21" w:rsidRDefault="00A72C63">
      <w:pPr>
        <w:spacing w:before="160" w:after="60"/>
      </w:pPr>
      <w:r>
        <w:rPr>
          <w:b/>
          <w:bCs/>
          <w:color w:val="1F4E79"/>
          <w:sz w:val="23"/>
          <w:szCs w:val="23"/>
        </w:rPr>
        <w:t>Step 2 — trend</w:t>
      </w:r>
    </w:p>
    <w:p w14:paraId="2A6B2AF2" w14:textId="77777777" w:rsidR="00392E21" w:rsidRDefault="00A72C63">
      <w:pPr>
        <w:spacing w:after="110"/>
      </w:pPr>
      <w:r>
        <w:t>Aggregated revenue by month and category, then quantified first-to-last-month change per category to separate momentum from decline.</w:t>
      </w:r>
    </w:p>
    <w:p w14:paraId="6C5B4A2C" w14:textId="77777777" w:rsidR="00392E21" w:rsidRDefault="00A72C63">
      <w:pPr>
        <w:spacing w:before="160" w:after="60"/>
      </w:pPr>
      <w:r>
        <w:rPr>
          <w:b/>
          <w:bCs/>
          <w:color w:val="1F4E79"/>
          <w:sz w:val="23"/>
          <w:szCs w:val="23"/>
        </w:rPr>
        <w:t>Step 3 — products</w:t>
      </w:r>
    </w:p>
    <w:p w14:paraId="05396609" w14:textId="77777777" w:rsidR="00392E21" w:rsidRDefault="00A72C63">
      <w:pPr>
        <w:spacing w:after="110"/>
      </w:pPr>
      <w:r>
        <w:t>Aggregated six-month revenue per product within each category, ranked them, and extracted the best and worst performer plus the percentage gap between them.</w:t>
      </w:r>
    </w:p>
    <w:p w14:paraId="060C180D" w14:textId="77777777" w:rsidR="00392E21" w:rsidRDefault="00A72C63">
      <w:pPr>
        <w:spacing w:before="160" w:after="60"/>
      </w:pPr>
      <w:r>
        <w:rPr>
          <w:b/>
          <w:bCs/>
          <w:color w:val="1F4E79"/>
          <w:sz w:val="23"/>
          <w:szCs w:val="23"/>
        </w:rPr>
        <w:t>Why the gap matters</w:t>
      </w:r>
    </w:p>
    <w:p w14:paraId="190367B8" w14:textId="77777777" w:rsidR="00392E21" w:rsidRDefault="00A72C63">
      <w:pPr>
        <w:spacing w:after="110"/>
      </w:pPr>
      <w:r>
        <w:t>The spread between top and bottom product is the test of whether product rationalisation is a viable lever at all — a wide spread implies a cuttable SKU, a narrow one does not.</w:t>
      </w:r>
    </w:p>
    <w:p w14:paraId="32AEABC7" w14:textId="77777777" w:rsidR="00392E21" w:rsidRDefault="00A72C63">
      <w:pPr>
        <w:pBdr>
          <w:bottom w:val="single" w:sz="6" w:space="4" w:color="BFBFBF"/>
        </w:pBdr>
        <w:spacing w:before="200" w:after="90"/>
      </w:pPr>
      <w:r>
        <w:rPr>
          <w:b/>
          <w:bCs/>
          <w:color w:val="1F4E79"/>
          <w:sz w:val="26"/>
          <w:szCs w:val="26"/>
        </w:rPr>
        <w:t>3.  Findings from my sections</w:t>
      </w:r>
    </w:p>
    <w:p w14:paraId="7200B207" w14:textId="77777777" w:rsidR="00392E21" w:rsidRDefault="00A72C63">
      <w:pPr>
        <w:spacing w:after="80"/>
      </w:pPr>
      <w:r>
        <w:t>Every figure below is computed from the validated dataset and reproduces in the team notebook.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400"/>
      </w:tblGrid>
      <w:tr w:rsidR="00392E21" w14:paraId="6BC168BB" w14:textId="77777777">
        <w:tblPrEx>
          <w:tblCellMar>
            <w:top w:w="0" w:type="dxa"/>
            <w:bottom w:w="0" w:type="dxa"/>
          </w:tblCellMar>
        </w:tblPrEx>
        <w:trPr>
          <w:tblHeader/>
        </w:trPr>
        <w:tc>
          <w:tcPr>
            <w:tcW w:w="2500" w:type="dxa"/>
            <w:shd w:val="clear" w:color="auto" w:fill="DCE6F1"/>
            <w:tcMar>
              <w:top w:w="70" w:type="dxa"/>
              <w:left w:w="90" w:type="dxa"/>
              <w:bottom w:w="70" w:type="dxa"/>
              <w:right w:w="90" w:type="dxa"/>
            </w:tcMar>
          </w:tcPr>
          <w:p w14:paraId="1FBAB45A" w14:textId="77777777" w:rsidR="00392E21" w:rsidRDefault="00A72C63">
            <w:r>
              <w:rPr>
                <w:b/>
                <w:bCs/>
                <w:sz w:val="20"/>
                <w:szCs w:val="20"/>
              </w:rPr>
              <w:t>Item</w:t>
            </w:r>
          </w:p>
        </w:tc>
        <w:tc>
          <w:tcPr>
            <w:tcW w:w="3500" w:type="dxa"/>
            <w:shd w:val="clear" w:color="auto" w:fill="DCE6F1"/>
            <w:tcMar>
              <w:top w:w="70" w:type="dxa"/>
              <w:left w:w="90" w:type="dxa"/>
              <w:bottom w:w="70" w:type="dxa"/>
              <w:right w:w="90" w:type="dxa"/>
            </w:tcMar>
          </w:tcPr>
          <w:p w14:paraId="58A59345" w14:textId="77777777" w:rsidR="00392E21" w:rsidRDefault="00A72C63">
            <w:r>
              <w:rPr>
                <w:b/>
                <w:bCs/>
                <w:sz w:val="20"/>
                <w:szCs w:val="20"/>
              </w:rPr>
              <w:t>Figure</w:t>
            </w:r>
          </w:p>
        </w:tc>
        <w:tc>
          <w:tcPr>
            <w:tcW w:w="3400" w:type="dxa"/>
            <w:shd w:val="clear" w:color="auto" w:fill="DCE6F1"/>
            <w:tcMar>
              <w:top w:w="70" w:type="dxa"/>
              <w:left w:w="90" w:type="dxa"/>
              <w:bottom w:w="70" w:type="dxa"/>
              <w:right w:w="90" w:type="dxa"/>
            </w:tcMar>
          </w:tcPr>
          <w:p w14:paraId="630FAF35" w14:textId="77777777" w:rsidR="00392E21" w:rsidRDefault="00A72C63">
            <w:r>
              <w:rPr>
                <w:b/>
                <w:bCs/>
                <w:sz w:val="20"/>
                <w:szCs w:val="20"/>
              </w:rPr>
              <w:t>Reading</w:t>
            </w:r>
          </w:p>
        </w:tc>
      </w:tr>
      <w:tr w:rsidR="00392E21" w14:paraId="22481E90" w14:textId="77777777">
        <w:tblPrEx>
          <w:tblCellMar>
            <w:top w:w="0" w:type="dxa"/>
            <w:bottom w:w="0" w:type="dxa"/>
          </w:tblCellMar>
        </w:tblPrEx>
        <w:tc>
          <w:tcPr>
            <w:tcW w:w="2500" w:type="dxa"/>
            <w:tcMar>
              <w:top w:w="70" w:type="dxa"/>
              <w:left w:w="90" w:type="dxa"/>
              <w:bottom w:w="70" w:type="dxa"/>
              <w:right w:w="90" w:type="dxa"/>
            </w:tcMar>
          </w:tcPr>
          <w:p w14:paraId="75DBBE06" w14:textId="77777777" w:rsidR="00392E21" w:rsidRDefault="00A72C63">
            <w:r>
              <w:rPr>
                <w:sz w:val="20"/>
                <w:szCs w:val="20"/>
              </w:rPr>
              <w:t>Electronics trend</w:t>
            </w:r>
          </w:p>
        </w:tc>
        <w:tc>
          <w:tcPr>
            <w:tcW w:w="3500" w:type="dxa"/>
            <w:tcMar>
              <w:top w:w="70" w:type="dxa"/>
              <w:left w:w="90" w:type="dxa"/>
              <w:bottom w:w="70" w:type="dxa"/>
              <w:right w:w="90" w:type="dxa"/>
            </w:tcMar>
          </w:tcPr>
          <w:p w14:paraId="0A15E232" w14:textId="77777777" w:rsidR="00392E21" w:rsidRDefault="00A72C63">
            <w:r>
              <w:rPr>
                <w:sz w:val="20"/>
                <w:szCs w:val="20"/>
              </w:rPr>
              <w:t>₹</w:t>
            </w:r>
            <w:r>
              <w:rPr>
                <w:sz w:val="20"/>
                <w:szCs w:val="20"/>
              </w:rPr>
              <w:t>45.7M → ₹29.7M</w:t>
            </w:r>
          </w:p>
        </w:tc>
        <w:tc>
          <w:tcPr>
            <w:tcW w:w="3400" w:type="dxa"/>
            <w:tcMar>
              <w:top w:w="70" w:type="dxa"/>
              <w:left w:w="90" w:type="dxa"/>
              <w:bottom w:w="70" w:type="dxa"/>
              <w:right w:w="90" w:type="dxa"/>
            </w:tcMar>
          </w:tcPr>
          <w:p w14:paraId="04934EF1" w14:textId="77777777" w:rsidR="00392E21" w:rsidRDefault="00A72C63">
            <w:r>
              <w:rPr>
                <w:sz w:val="20"/>
                <w:szCs w:val="20"/>
              </w:rPr>
              <w:t>−</w:t>
            </w:r>
            <w:r>
              <w:rPr>
                <w:sz w:val="20"/>
                <w:szCs w:val="20"/>
              </w:rPr>
              <w:t>35.0% — largest category, steepest decline</w:t>
            </w:r>
          </w:p>
        </w:tc>
      </w:tr>
      <w:tr w:rsidR="00392E21" w14:paraId="4450EBB7" w14:textId="77777777">
        <w:tblPrEx>
          <w:tblCellMar>
            <w:top w:w="0" w:type="dxa"/>
            <w:bottom w:w="0" w:type="dxa"/>
          </w:tblCellMar>
        </w:tblPrEx>
        <w:tc>
          <w:tcPr>
            <w:tcW w:w="2500" w:type="dxa"/>
            <w:tcMar>
              <w:top w:w="70" w:type="dxa"/>
              <w:left w:w="90" w:type="dxa"/>
              <w:bottom w:w="70" w:type="dxa"/>
              <w:right w:w="90" w:type="dxa"/>
            </w:tcMar>
          </w:tcPr>
          <w:p w14:paraId="43C937D4" w14:textId="77777777" w:rsidR="00392E21" w:rsidRDefault="00A72C63">
            <w:r>
              <w:rPr>
                <w:sz w:val="20"/>
                <w:szCs w:val="20"/>
              </w:rPr>
              <w:t>Apparel trend</w:t>
            </w:r>
          </w:p>
        </w:tc>
        <w:tc>
          <w:tcPr>
            <w:tcW w:w="3500" w:type="dxa"/>
            <w:tcMar>
              <w:top w:w="70" w:type="dxa"/>
              <w:left w:w="90" w:type="dxa"/>
              <w:bottom w:w="70" w:type="dxa"/>
              <w:right w:w="90" w:type="dxa"/>
            </w:tcMar>
          </w:tcPr>
          <w:p w14:paraId="196F9EBA" w14:textId="77777777" w:rsidR="00392E21" w:rsidRDefault="00A72C63">
            <w:r>
              <w:rPr>
                <w:sz w:val="20"/>
                <w:szCs w:val="20"/>
              </w:rPr>
              <w:t>₹</w:t>
            </w:r>
            <w:r>
              <w:rPr>
                <w:sz w:val="20"/>
                <w:szCs w:val="20"/>
              </w:rPr>
              <w:t>10.0M → ₹13.5M</w:t>
            </w:r>
          </w:p>
        </w:tc>
        <w:tc>
          <w:tcPr>
            <w:tcW w:w="3400" w:type="dxa"/>
            <w:tcMar>
              <w:top w:w="70" w:type="dxa"/>
              <w:left w:w="90" w:type="dxa"/>
              <w:bottom w:w="70" w:type="dxa"/>
              <w:right w:w="90" w:type="dxa"/>
            </w:tcMar>
          </w:tcPr>
          <w:p w14:paraId="6A290FD2" w14:textId="77777777" w:rsidR="00392E21" w:rsidRDefault="00A72C63">
            <w:r>
              <w:rPr>
                <w:sz w:val="20"/>
                <w:szCs w:val="20"/>
              </w:rPr>
              <w:t>+34.1% — only sustained growth</w:t>
            </w:r>
          </w:p>
        </w:tc>
      </w:tr>
      <w:tr w:rsidR="00392E21" w14:paraId="07C6C8AD" w14:textId="77777777">
        <w:tblPrEx>
          <w:tblCellMar>
            <w:top w:w="0" w:type="dxa"/>
            <w:bottom w:w="0" w:type="dxa"/>
          </w:tblCellMar>
        </w:tblPrEx>
        <w:tc>
          <w:tcPr>
            <w:tcW w:w="2500" w:type="dxa"/>
            <w:tcMar>
              <w:top w:w="70" w:type="dxa"/>
              <w:left w:w="90" w:type="dxa"/>
              <w:bottom w:w="70" w:type="dxa"/>
              <w:right w:w="90" w:type="dxa"/>
            </w:tcMar>
          </w:tcPr>
          <w:p w14:paraId="6F6FB20E" w14:textId="77777777" w:rsidR="00392E21" w:rsidRDefault="00A72C63">
            <w:r>
              <w:rPr>
                <w:sz w:val="20"/>
                <w:szCs w:val="20"/>
              </w:rPr>
              <w:t>Home &amp; Kitchen</w:t>
            </w:r>
          </w:p>
        </w:tc>
        <w:tc>
          <w:tcPr>
            <w:tcW w:w="3500" w:type="dxa"/>
            <w:tcMar>
              <w:top w:w="70" w:type="dxa"/>
              <w:left w:w="90" w:type="dxa"/>
              <w:bottom w:w="70" w:type="dxa"/>
              <w:right w:w="90" w:type="dxa"/>
            </w:tcMar>
          </w:tcPr>
          <w:p w14:paraId="2B0EB67A" w14:textId="77777777" w:rsidR="00392E21" w:rsidRDefault="00A72C63">
            <w:r>
              <w:rPr>
                <w:sz w:val="20"/>
                <w:szCs w:val="20"/>
              </w:rPr>
              <w:t>−</w:t>
            </w:r>
            <w:r>
              <w:rPr>
                <w:sz w:val="20"/>
                <w:szCs w:val="20"/>
              </w:rPr>
              <w:t>18.5%</w:t>
            </w:r>
          </w:p>
        </w:tc>
        <w:tc>
          <w:tcPr>
            <w:tcW w:w="3400" w:type="dxa"/>
            <w:tcMar>
              <w:top w:w="70" w:type="dxa"/>
              <w:left w:w="90" w:type="dxa"/>
              <w:bottom w:w="70" w:type="dxa"/>
              <w:right w:w="90" w:type="dxa"/>
            </w:tcMar>
          </w:tcPr>
          <w:p w14:paraId="6E7B35AB" w14:textId="77777777" w:rsidR="00392E21" w:rsidRDefault="00A72C63">
            <w:r>
              <w:rPr>
                <w:sz w:val="20"/>
                <w:szCs w:val="20"/>
              </w:rPr>
              <w:t>Quiet secondary decline</w:t>
            </w:r>
          </w:p>
        </w:tc>
      </w:tr>
      <w:tr w:rsidR="00392E21" w14:paraId="1C244036" w14:textId="77777777">
        <w:tblPrEx>
          <w:tblCellMar>
            <w:top w:w="0" w:type="dxa"/>
            <w:bottom w:w="0" w:type="dxa"/>
          </w:tblCellMar>
        </w:tblPrEx>
        <w:tc>
          <w:tcPr>
            <w:tcW w:w="2500" w:type="dxa"/>
            <w:tcMar>
              <w:top w:w="70" w:type="dxa"/>
              <w:left w:w="90" w:type="dxa"/>
              <w:bottom w:w="70" w:type="dxa"/>
              <w:right w:w="90" w:type="dxa"/>
            </w:tcMar>
          </w:tcPr>
          <w:p w14:paraId="700D4985" w14:textId="77777777" w:rsidR="00392E21" w:rsidRDefault="00A72C63">
            <w:r>
              <w:rPr>
                <w:sz w:val="20"/>
                <w:szCs w:val="20"/>
              </w:rPr>
              <w:t>Grocery / Personal Care</w:t>
            </w:r>
          </w:p>
        </w:tc>
        <w:tc>
          <w:tcPr>
            <w:tcW w:w="3500" w:type="dxa"/>
            <w:tcMar>
              <w:top w:w="70" w:type="dxa"/>
              <w:left w:w="90" w:type="dxa"/>
              <w:bottom w:w="70" w:type="dxa"/>
              <w:right w:w="90" w:type="dxa"/>
            </w:tcMar>
          </w:tcPr>
          <w:p w14:paraId="48CA67C1" w14:textId="77777777" w:rsidR="00392E21" w:rsidRDefault="00A72C63">
            <w:r>
              <w:rPr>
                <w:sz w:val="20"/>
                <w:szCs w:val="20"/>
              </w:rPr>
              <w:t>−</w:t>
            </w:r>
            <w:r>
              <w:rPr>
                <w:sz w:val="20"/>
                <w:szCs w:val="20"/>
              </w:rPr>
              <w:t>3.5% / +2.2%</w:t>
            </w:r>
          </w:p>
        </w:tc>
        <w:tc>
          <w:tcPr>
            <w:tcW w:w="3400" w:type="dxa"/>
            <w:tcMar>
              <w:top w:w="70" w:type="dxa"/>
              <w:left w:w="90" w:type="dxa"/>
              <w:bottom w:w="70" w:type="dxa"/>
              <w:right w:w="90" w:type="dxa"/>
            </w:tcMar>
          </w:tcPr>
          <w:p w14:paraId="17FB3B72" w14:textId="77777777" w:rsidR="00392E21" w:rsidRDefault="00A72C63">
            <w:r>
              <w:rPr>
                <w:sz w:val="20"/>
                <w:szCs w:val="20"/>
              </w:rPr>
              <w:t>Effectively flat</w:t>
            </w:r>
          </w:p>
        </w:tc>
      </w:tr>
      <w:tr w:rsidR="00392E21" w14:paraId="5AA00DCC" w14:textId="77777777">
        <w:tblPrEx>
          <w:tblCellMar>
            <w:top w:w="0" w:type="dxa"/>
            <w:bottom w:w="0" w:type="dxa"/>
          </w:tblCellMar>
        </w:tblPrEx>
        <w:tc>
          <w:tcPr>
            <w:tcW w:w="2500" w:type="dxa"/>
            <w:tcMar>
              <w:top w:w="70" w:type="dxa"/>
              <w:left w:w="90" w:type="dxa"/>
              <w:bottom w:w="70" w:type="dxa"/>
              <w:right w:w="90" w:type="dxa"/>
            </w:tcMar>
          </w:tcPr>
          <w:p w14:paraId="35C00925" w14:textId="77777777" w:rsidR="00392E21" w:rsidRDefault="00A72C63">
            <w:r>
              <w:rPr>
                <w:sz w:val="20"/>
                <w:szCs w:val="20"/>
              </w:rPr>
              <w:t>Electronics products</w:t>
            </w:r>
          </w:p>
        </w:tc>
        <w:tc>
          <w:tcPr>
            <w:tcW w:w="3500" w:type="dxa"/>
            <w:tcMar>
              <w:top w:w="70" w:type="dxa"/>
              <w:left w:w="90" w:type="dxa"/>
              <w:bottom w:w="70" w:type="dxa"/>
              <w:right w:w="90" w:type="dxa"/>
            </w:tcMar>
          </w:tcPr>
          <w:p w14:paraId="232BACC1" w14:textId="77777777" w:rsidR="00392E21" w:rsidRDefault="00A72C63">
            <w:r>
              <w:rPr>
                <w:sz w:val="20"/>
                <w:szCs w:val="20"/>
              </w:rPr>
              <w:t>Headphones ₹47.7M vs Smart TV ₹41.9M</w:t>
            </w:r>
          </w:p>
        </w:tc>
        <w:tc>
          <w:tcPr>
            <w:tcW w:w="3400" w:type="dxa"/>
            <w:tcMar>
              <w:top w:w="70" w:type="dxa"/>
              <w:left w:w="90" w:type="dxa"/>
              <w:bottom w:w="70" w:type="dxa"/>
              <w:right w:w="90" w:type="dxa"/>
            </w:tcMar>
          </w:tcPr>
          <w:p w14:paraId="5D8F398F" w14:textId="77777777" w:rsidR="00392E21" w:rsidRDefault="00A72C63">
            <w:r>
              <w:rPr>
                <w:sz w:val="20"/>
                <w:szCs w:val="20"/>
              </w:rPr>
              <w:t>13.9% gap — the widest in the dataset</w:t>
            </w:r>
          </w:p>
        </w:tc>
      </w:tr>
      <w:tr w:rsidR="00392E21" w14:paraId="4A85EE73" w14:textId="77777777">
        <w:tblPrEx>
          <w:tblCellMar>
            <w:top w:w="0" w:type="dxa"/>
            <w:bottom w:w="0" w:type="dxa"/>
          </w:tblCellMar>
        </w:tblPrEx>
        <w:tc>
          <w:tcPr>
            <w:tcW w:w="2500" w:type="dxa"/>
            <w:tcMar>
              <w:top w:w="70" w:type="dxa"/>
              <w:left w:w="90" w:type="dxa"/>
              <w:bottom w:w="70" w:type="dxa"/>
              <w:right w:w="90" w:type="dxa"/>
            </w:tcMar>
          </w:tcPr>
          <w:p w14:paraId="493E25B3" w14:textId="77777777" w:rsidR="00392E21" w:rsidRDefault="00A72C63">
            <w:r>
              <w:rPr>
                <w:sz w:val="20"/>
                <w:szCs w:val="20"/>
              </w:rPr>
              <w:t>Apparel / Grocery products</w:t>
            </w:r>
          </w:p>
        </w:tc>
        <w:tc>
          <w:tcPr>
            <w:tcW w:w="3500" w:type="dxa"/>
            <w:tcMar>
              <w:top w:w="70" w:type="dxa"/>
              <w:left w:w="90" w:type="dxa"/>
              <w:bottom w:w="70" w:type="dxa"/>
              <w:right w:w="90" w:type="dxa"/>
            </w:tcMar>
          </w:tcPr>
          <w:p w14:paraId="70390EA7" w14:textId="77777777" w:rsidR="00392E21" w:rsidRDefault="00A72C63">
            <w:r>
              <w:rPr>
                <w:sz w:val="20"/>
                <w:szCs w:val="20"/>
              </w:rPr>
              <w:t>Saree vs Kurta · Rice vs Sugar</w:t>
            </w:r>
          </w:p>
        </w:tc>
        <w:tc>
          <w:tcPr>
            <w:tcW w:w="3400" w:type="dxa"/>
            <w:tcMar>
              <w:top w:w="70" w:type="dxa"/>
              <w:left w:w="90" w:type="dxa"/>
              <w:bottom w:w="70" w:type="dxa"/>
              <w:right w:w="90" w:type="dxa"/>
            </w:tcMar>
          </w:tcPr>
          <w:p w14:paraId="57F41993" w14:textId="77777777" w:rsidR="00392E21" w:rsidRDefault="00A72C63">
            <w:r>
              <w:rPr>
                <w:sz w:val="20"/>
                <w:szCs w:val="20"/>
              </w:rPr>
              <w:t>4.1% / 2.2% gap — negligible</w:t>
            </w:r>
          </w:p>
        </w:tc>
      </w:tr>
    </w:tbl>
    <w:p w14:paraId="0F1987A6" w14:textId="77777777" w:rsidR="00392E21" w:rsidRDefault="00A72C63">
      <w:pPr>
        <w:pBdr>
          <w:bottom w:val="single" w:sz="6" w:space="4" w:color="BFBFBF"/>
        </w:pBdr>
        <w:spacing w:before="200" w:after="90"/>
      </w:pPr>
      <w:r>
        <w:rPr>
          <w:b/>
          <w:bCs/>
          <w:color w:val="1F4E79"/>
          <w:sz w:val="26"/>
          <w:szCs w:val="26"/>
        </w:rPr>
        <w:lastRenderedPageBreak/>
        <w:t>4.  Business interpretation</w:t>
      </w:r>
    </w:p>
    <w:p w14:paraId="6175A4EC" w14:textId="77777777" w:rsidR="00392E21" w:rsidRDefault="00A72C63">
      <w:pPr>
        <w:spacing w:after="110"/>
      </w:pPr>
      <w:r>
        <w:t>The two findings point the same way. At category level the movement is dramatic — a 69-point spread between the best and worst performing category — while at product level everything sits within roughly 2–14% of everything else. There is no dead SKU. That is a negative result, and reporting it honestly matters more than manufacturing a recommendation the data does not support: it redirects the entire intervention away from product rationalisation and toward the category-level and discount decisions, which i</w:t>
      </w:r>
      <w:r>
        <w:t>s where the real signal lives. The supplier conversation is therefore about Electronics as a category, not about any individual line within it.</w:t>
      </w:r>
    </w:p>
    <w:p w14:paraId="7944E5B8" w14:textId="77777777" w:rsidR="00392E21" w:rsidRDefault="00A72C63">
      <w:pPr>
        <w:pBdr>
          <w:bottom w:val="single" w:sz="6" w:space="4" w:color="BFBFBF"/>
        </w:pBdr>
        <w:spacing w:before="200" w:after="90"/>
      </w:pPr>
      <w:r>
        <w:rPr>
          <w:b/>
          <w:bCs/>
          <w:color w:val="1F4E79"/>
          <w:sz w:val="26"/>
          <w:szCs w:val="26"/>
        </w:rPr>
        <w:t>5.  What I learned</w:t>
      </w:r>
    </w:p>
    <w:p w14:paraId="632DCAF0" w14:textId="77777777" w:rsidR="00392E21" w:rsidRDefault="00A72C63">
      <w:pPr>
        <w:spacing w:after="110"/>
      </w:pPr>
      <w:r>
        <w:t>I went into Step 3 expecting to find one or two weak products to cut, and found none. Learning to report that clearly — rather than forcing a finding — was the main lesson of this use case. Step 2 taught me the complementary point: a category can look healthy on total revenue while deteriorating month over month, so size and direction are separate questions that need separate charts. Standardising the styling across everyone's sections also showed me how much visual consistency affects whether a reader trus</w:t>
      </w:r>
      <w:r>
        <w:t>ts an analysis.</w:t>
      </w:r>
    </w:p>
    <w:p w14:paraId="6ECF4635" w14:textId="77777777" w:rsidR="00392E21" w:rsidRDefault="00A72C63">
      <w:pPr>
        <w:spacing w:after="110"/>
      </w:pPr>
      <w:r>
        <w:rPr>
          <w:b/>
          <w:bCs/>
        </w:rPr>
        <w:t xml:space="preserve">From my teammates: </w:t>
      </w:r>
      <w:r>
        <w:t>From Nakul's briefing I saw how much sharper a finding becomes when it is paired with an action and a figure rather than left as an observation. Seeing my trend and product charts reappear inside Naishadh's Clarity app — generated automatically from the same data — also showed me how much of chart selection can be reduced to rules about column types.</w:t>
      </w:r>
    </w:p>
    <w:p w14:paraId="20C5441C" w14:textId="77777777" w:rsidR="00392E21" w:rsidRDefault="00A72C63">
      <w:pPr>
        <w:pBdr>
          <w:bottom w:val="single" w:sz="6" w:space="4" w:color="BFBFBF"/>
        </w:pBdr>
        <w:spacing w:before="200" w:after="90"/>
      </w:pPr>
      <w:r>
        <w:rPr>
          <w:b/>
          <w:bCs/>
          <w:color w:val="1F4E79"/>
          <w:sz w:val="26"/>
          <w:szCs w:val="26"/>
        </w:rPr>
        <w:t>6.  Limitation I would flag</w:t>
      </w:r>
    </w:p>
    <w:p w14:paraId="4AD2AC87" w14:textId="77777777" w:rsidR="00392E21" w:rsidRDefault="00A72C63">
      <w:pPr>
        <w:spacing w:after="110"/>
      </w:pPr>
      <w:r>
        <w:t xml:space="preserve">The dataset carries </w:t>
      </w:r>
      <w:r>
        <w:rPr>
          <w:b/>
          <w:bCs/>
        </w:rPr>
        <w:t>revenue only — no cost or margin data</w:t>
      </w:r>
      <w:r>
        <w:t>. A growing category could still be low-margin and a declining one highly profitable, so every recommendation here rests on top-line performance. Category-level COGS, and ideally footfall counts to separate demand shifts from basket-size effects, would be needed to confirm these calls on profit.</w:t>
      </w:r>
    </w:p>
    <w:sectPr w:rsidR="00392E21">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72578"/>
    <w:multiLevelType w:val="hybridMultilevel"/>
    <w:tmpl w:val="DC6A7CD0"/>
    <w:lvl w:ilvl="0" w:tplc="A870839A">
      <w:start w:val="1"/>
      <w:numFmt w:val="bullet"/>
      <w:lvlText w:val="●"/>
      <w:lvlJc w:val="left"/>
      <w:pPr>
        <w:ind w:left="720" w:hanging="360"/>
      </w:pPr>
    </w:lvl>
    <w:lvl w:ilvl="1" w:tplc="38AEDC04">
      <w:start w:val="1"/>
      <w:numFmt w:val="bullet"/>
      <w:lvlText w:val="○"/>
      <w:lvlJc w:val="left"/>
      <w:pPr>
        <w:ind w:left="1440" w:hanging="360"/>
      </w:pPr>
    </w:lvl>
    <w:lvl w:ilvl="2" w:tplc="32AC8110">
      <w:start w:val="1"/>
      <w:numFmt w:val="bullet"/>
      <w:lvlText w:val="■"/>
      <w:lvlJc w:val="left"/>
      <w:pPr>
        <w:ind w:left="2160" w:hanging="360"/>
      </w:pPr>
    </w:lvl>
    <w:lvl w:ilvl="3" w:tplc="B85E923A">
      <w:start w:val="1"/>
      <w:numFmt w:val="bullet"/>
      <w:lvlText w:val="●"/>
      <w:lvlJc w:val="left"/>
      <w:pPr>
        <w:ind w:left="2880" w:hanging="360"/>
      </w:pPr>
    </w:lvl>
    <w:lvl w:ilvl="4" w:tplc="4F861CCC">
      <w:start w:val="1"/>
      <w:numFmt w:val="bullet"/>
      <w:lvlText w:val="○"/>
      <w:lvlJc w:val="left"/>
      <w:pPr>
        <w:ind w:left="3600" w:hanging="360"/>
      </w:pPr>
    </w:lvl>
    <w:lvl w:ilvl="5" w:tplc="1654D5A8">
      <w:start w:val="1"/>
      <w:numFmt w:val="bullet"/>
      <w:lvlText w:val="■"/>
      <w:lvlJc w:val="left"/>
      <w:pPr>
        <w:ind w:left="4320" w:hanging="360"/>
      </w:pPr>
    </w:lvl>
    <w:lvl w:ilvl="6" w:tplc="1610A85C">
      <w:start w:val="1"/>
      <w:numFmt w:val="bullet"/>
      <w:lvlText w:val="●"/>
      <w:lvlJc w:val="left"/>
      <w:pPr>
        <w:ind w:left="5040" w:hanging="360"/>
      </w:pPr>
    </w:lvl>
    <w:lvl w:ilvl="7" w:tplc="8618E83C">
      <w:start w:val="1"/>
      <w:numFmt w:val="bullet"/>
      <w:lvlText w:val="●"/>
      <w:lvlJc w:val="left"/>
      <w:pPr>
        <w:ind w:left="5760" w:hanging="360"/>
      </w:pPr>
    </w:lvl>
    <w:lvl w:ilvl="8" w:tplc="C66A518E">
      <w:start w:val="1"/>
      <w:numFmt w:val="bullet"/>
      <w:lvlText w:val="●"/>
      <w:lvlJc w:val="left"/>
      <w:pPr>
        <w:ind w:left="6480" w:hanging="360"/>
      </w:pPr>
    </w:lvl>
  </w:abstractNum>
  <w:num w:numId="1" w16cid:durableId="1657877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E21"/>
    <w:rsid w:val="00392E21"/>
    <w:rsid w:val="0091360B"/>
    <w:rsid w:val="009E7792"/>
    <w:rsid w:val="00A72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8F040"/>
  <w15:docId w15:val="{D8F3E1B7-32E8-4DB4-AB8F-0E5E73BAD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Jeenepally Adiseshu</cp:lastModifiedBy>
  <cp:revision>2</cp:revision>
  <dcterms:created xsi:type="dcterms:W3CDTF">2026-09-19T07:07:00Z</dcterms:created>
  <dcterms:modified xsi:type="dcterms:W3CDTF">2026-09-19T07:07:00Z</dcterms:modified>
</cp:coreProperties>
</file>