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MUC01 Category Intelligence – Insight Summary</w:t>
      </w:r>
    </w:p>
    <w:p>
      <w:r>
        <w:rPr>
          <w:b/>
        </w:rPr>
        <w:t xml:space="preserve">Student: </w:t>
      </w:r>
      <w:r>
        <w:t>CHINDANUR NAKUL SRIRAJ</w:t>
        <w:br/>
      </w:r>
    </w:p>
    <w:p>
      <w:r>
        <w:t>Dataset: 107836 transactions, 25 products, 5 categories from Jan–Jun 2026.</w:t>
      </w:r>
    </w:p>
    <w:p>
      <w:pPr>
        <w:pStyle w:val="Heading2"/>
      </w:pPr>
      <w:r>
        <w:t>Three Key Findings</w:t>
      </w:r>
    </w:p>
    <w:p>
      <w:r>
        <w:t>1. Monthly category revenue trends identify categories showing consistent growth and those requiring supplier review.</w:t>
      </w:r>
    </w:p>
    <w:p>
      <w:r>
        <w:t>2. Product-level analysis highlights top and bottom performers within each category.</w:t>
      </w:r>
    </w:p>
    <w:p>
      <w:r>
        <w:t>3. Discount analysis evaluates whether larger discounts increase average revenue or simply reduce margins.</w:t>
      </w:r>
    </w:p>
    <w:p>
      <w:pPr>
        <w:pStyle w:val="Heading2"/>
      </w:pPr>
      <w:r>
        <w:t>Category Recommendation</w:t>
      </w:r>
    </w:p>
    <w:p>
      <w:r>
        <w:t>Prioritize categories with sustained revenue performance and challenge suppliers whose products consistently appear among the lowest revenue contributors.</w:t>
      </w:r>
    </w:p>
    <w:p>
      <w:pPr>
        <w:pStyle w:val="Heading2"/>
      </w:pPr>
      <w:r>
        <w:t>Limitation</w:t>
      </w:r>
    </w:p>
    <w:p>
      <w:r>
        <w:t>The dataset does not include profit margin, inventory, stock-outs, or supplier cost information, so recommendations are based only on sales revenue and units sold.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