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CREDIT PRE-SCREENING ENGINE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LOAN INTAKE OPTIMISATION | TEAM INSIGHT SUMMARY</w:t>
      </w:r>
    </w:p>
    <w:p>
      <w:pPr>
        <w:spacing w:after="140"/>
      </w:pPr>
      <w:r>
        <w:rPr>
          <w:rFonts w:ascii="Calibri" w:cs="Calibri" w:eastAsia="Calibri" w:hAnsi="Calibri"/>
          <w:color w:val="595959"/>
          <w:sz w:val="17"/>
          <w:szCs w:val="17"/>
        </w:rPr>
        <w:t xml:space="preserve">Calibo AI Academy · Path 2 · KLU Batch 10 · Mini Use Case 02 · Naishadh Vytla · Raghunandan · Pradeepthi · Saketh</w:t>
      </w:r>
    </w:p>
    <w:p>
      <w:pPr>
        <w:keepNext/>
        <w:keepLines/>
        <w:spacing w:after="70" w:before="18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Three key findings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bank already runs on two unwritten rules.</w:t>
      </w:r>
      <w:r>
        <w:rPr>
          <w:rFonts w:ascii="Calibri" w:cs="Calibri" w:eastAsia="Calibri" w:hAnsi="Calibri"/>
          <w:sz w:val="21"/>
          <w:szCs w:val="21"/>
        </w:rPr>
        <w:t xml:space="preserve"> Below a credit score of 650 only 3% of applications are approved, against 32.5% at 650–699. Approval falls from 65.5% when EMIs take under 30% of income (FOIR) to 15.6% above 55%. The model's strongest drivers (FOIR, credit score, late payments) show it learned this policy.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Accuracy hides the real cost.</w:t>
      </w:r>
      <w:r>
        <w:rPr>
          <w:rFonts w:ascii="Calibri" w:cs="Calibri" w:eastAsia="Calibri" w:hAnsi="Calibri"/>
          <w:sz w:val="21"/>
          <w:szCs w:val="21"/>
        </w:rPr>
        <w:t xml:space="preserve"> The model is 79.1% accurate (ROC-AUC 0.867), but at the default 0.5 cut-off it would decline 225 of 2,400 test applicants the bank approved: about 280 good customers a month.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model cannot be trusted with new-to-credit applicants.</w:t>
      </w:r>
      <w:r>
        <w:rPr>
          <w:rFonts w:ascii="Calibri" w:cs="Calibri" w:eastAsia="Calibri" w:hAnsi="Calibri"/>
          <w:sz w:val="21"/>
          <w:szCs w:val="21"/>
        </w:rPr>
        <w:t xml:space="preserve"> These 8.7% of applicants have no bureau score. The model is right only 56.7% of the time for them (81.2% for scored applicants), and half of those it would auto-decline at 0.90 were approved.</w:t>
      </w:r>
    </w:p>
    <w:p>
      <w:pPr>
        <w:keepNext/>
        <w:keepLines/>
        <w:spacing w:after="70" w:before="18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Recommendation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Auto-decline only when the model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at least 90% confident</w:t>
      </w:r>
      <w:r>
        <w:rPr>
          <w:rFonts w:ascii="Calibri" w:cs="Calibri" w:eastAsia="Calibri" w:hAnsi="Calibri"/>
          <w:sz w:val="21"/>
          <w:szCs w:val="21"/>
        </w:rPr>
        <w:t xml:space="preserve"> and the applicant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has a credit score</w:t>
      </w:r>
      <w:r>
        <w:rPr>
          <w:rFonts w:ascii="Calibri" w:cs="Calibri" w:eastAsia="Calibri" w:hAnsi="Calibri"/>
          <w:sz w:val="21"/>
          <w:szCs w:val="21"/>
        </w:rPr>
        <w:t xml:space="preserve">; route every new-to-credit applicant to an analyst. This removes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14.7% of applications, about 441 a month, freeing about 184 analyst hours</w:t>
      </w:r>
      <w:r>
        <w:rPr>
          <w:rFonts w:ascii="Calibri" w:cs="Calibri" w:eastAsia="Calibri" w:hAnsi="Calibri"/>
          <w:sz w:val="21"/>
          <w:szCs w:val="21"/>
        </w:rPr>
        <w:t xml:space="preserve">, and only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3.1%</w:t>
      </w:r>
      <w:r>
        <w:rPr>
          <w:rFonts w:ascii="Calibri" w:cs="Calibri" w:eastAsia="Calibri" w:hAnsi="Calibri"/>
          <w:sz w:val="21"/>
          <w:szCs w:val="21"/>
        </w:rPr>
        <w:t xml:space="preserve"> of auto-declines would have been approved, inside the 5% limit. Write the 650 floor and a 50% FOIR limit into policy.</w:t>
      </w:r>
    </w:p>
    <w:p>
      <w:pPr>
        <w:spacing w:after="11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Fairness:</w:t>
      </w:r>
      <w:r>
        <w:rPr>
          <w:rFonts w:ascii="Calibri" w:cs="Calibri" w:eastAsia="Calibri" w:hAnsi="Calibri"/>
          <w:sz w:val="21"/>
          <w:szCs w:val="21"/>
        </w:rPr>
        <w:t xml:space="preserve"> men were approved more often than women (54.1% vs 50.4%), mostly because of income (₹55K vs ₹45K median) and job mix (women are almost twice as likely to be gig workers). The model does not widen the gap (15.1% vs 14.5% auto-declined), but income and job type can act as proxies, so outcomes by gender should be reported monthly.</w:t>
      </w:r>
    </w:p>
    <w:p>
      <w:pPr>
        <w:keepNext/>
        <w:keepLines/>
        <w:spacing w:after="70" w:before="18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Limitation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The target is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credit team's past decision, not repayment</w:t>
      </w:r>
      <w:r>
        <w:rPr>
          <w:rFonts w:ascii="Calibri" w:cs="Calibri" w:eastAsia="Calibri" w:hAnsi="Calibri"/>
          <w:sz w:val="21"/>
          <w:szCs w:val="21"/>
        </w:rPr>
        <w:t xml:space="preserve">. The model copies analyst judgement, including any bias, and cannot tell us whether auto-declined applicants would have repaid. Link decisions to repayment and re-test on newer applications before going live.</w:t>
      </w:r>
    </w:p>
    <w:p>
      <w:pPr>
        <w:keepNext/>
        <w:keepLines/>
        <w:spacing w:after="70" w:before="18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Who owned which section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4"/>
        <w:gridCol w:w="3363"/>
        <w:gridCol w:w="3539"/>
      </w:tblGrid>
      <w:tr>
        <w:trPr>
          <w:tblHeader/>
        </w:trPr>
        <w:tc>
          <w:tcPr>
            <w:tcW w:type="dxa" w:w="2124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Member</w:t>
            </w:r>
          </w:p>
        </w:tc>
        <w:tc>
          <w:tcPr>
            <w:tcW w:type="dxa" w:w="3363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Sections</w:t>
            </w:r>
          </w:p>
        </w:tc>
        <w:tc>
          <w:tcPr>
            <w:tcW w:type="dxa" w:w="3539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Cross-cutting</w:t>
            </w:r>
          </w:p>
        </w:tc>
      </w:tr>
      <w:tr>
        <w:trPr>
          <w:cantSplit/>
        </w:trPr>
        <w:tc>
          <w:tcPr>
            <w:tcW w:type="dxa" w:w="2124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Naishadh Vytla</w:t>
            </w:r>
          </w:p>
        </w:tc>
        <w:tc>
          <w:tcPr>
            <w:tcW w:type="dxa" w:w="3363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CBIM canvas (led), Step 5.1</w:t>
            </w:r>
          </w:p>
        </w:tc>
        <w:tc>
          <w:tcPr>
            <w:tcW w:type="dxa" w:w="3539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Notebook assembly · Triage web app (beyond scope)</w:t>
            </w:r>
          </w:p>
        </w:tc>
      </w:tr>
      <w:tr>
        <w:trPr>
          <w:cantSplit/>
        </w:trPr>
        <w:tc>
          <w:tcPr>
            <w:tcW w:type="dxa" w:w="2124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Raghunandan</w:t>
            </w:r>
          </w:p>
        </w:tc>
        <w:tc>
          <w:tcPr>
            <w:tcW w:type="dxa" w:w="3363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Step 5.2, Step 5.3</w:t>
            </w:r>
          </w:p>
        </w:tc>
        <w:tc>
          <w:tcPr>
            <w:tcW w:type="dxa" w:w="3539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Chart style consistency pass · team documentation</w:t>
            </w:r>
          </w:p>
        </w:tc>
      </w:tr>
      <w:tr>
        <w:trPr>
          <w:cantSplit/>
        </w:trPr>
        <w:tc>
          <w:tcPr>
            <w:tcW w:type="dxa" w:w="2124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Pradeepthi</w:t>
            </w:r>
          </w:p>
        </w:tc>
        <w:tc>
          <w:tcPr>
            <w:tcW w:type="dxa" w:w="3363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Step 5.4, Step 5.5</w:t>
            </w:r>
          </w:p>
        </w:tc>
        <w:tc>
          <w:tcPr>
            <w:tcW w:type="dxa" w:w="3539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Presentation deck</w:t>
            </w:r>
          </w:p>
        </w:tc>
      </w:tr>
      <w:tr>
        <w:trPr>
          <w:cantSplit/>
        </w:trPr>
        <w:tc>
          <w:tcPr>
            <w:tcW w:type="dxa" w:w="2124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Saketh</w:t>
            </w:r>
          </w:p>
        </w:tc>
        <w:tc>
          <w:tcPr>
            <w:tcW w:type="dxa" w:w="3363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Step 5.6, Step 5.7</w:t>
            </w:r>
          </w:p>
        </w:tc>
        <w:tc>
          <w:tcPr>
            <w:tcW w:type="dxa" w:w="3539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End-to-end QA · 1-page summary · submission checklist</w:t>
            </w:r>
          </w:p>
        </w:tc>
      </w:tr>
    </w:tbl>
    <w:sectPr>
      <w:footerReference w:type="default" r:id="rId7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MUC02 · 1-page summary · Batch 10  · 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2026-10-29T13:26:00.403Z</dcterms:created>
  <dcterms:modified xsi:type="dcterms:W3CDTF">2026-10-29T13:26:00.403Z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