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0"/>
          <w:szCs w:val="40"/>
        </w:rPr>
        <w:t xml:space="preserve">Credit Pre-Screening Engine</w:t>
      </w:r>
    </w:p>
    <w:p>
      <w:pPr>
        <w:spacing w:after="40"/>
      </w:pPr>
      <w:r>
        <w:rPr>
          <w:rFonts w:ascii="Calibri" w:cs="Calibri" w:eastAsia="Calibri" w:hAnsi="Calibri"/>
          <w:color w:val="595959"/>
          <w:sz w:val="24"/>
          <w:szCs w:val="24"/>
        </w:rPr>
        <w:t xml:space="preserve">Loan Intake Optimisation · Team Documentation &amp; Insight Report</w:t>
      </w:r>
    </w:p>
    <w:p>
      <w:pPr>
        <w:spacing w:after="200"/>
      </w:pPr>
      <w:r>
        <w:rPr>
          <w:rFonts w:ascii="Calibri" w:cs="Calibri" w:eastAsia="Calibri" w:hAnsi="Calibri"/>
          <w:i/>
          <w:iCs/>
          <w:color w:val="595959"/>
          <w:sz w:val="19"/>
          <w:szCs w:val="19"/>
        </w:rPr>
        <w:t xml:space="preserve">Calibo AI Academy · Path 2 · KLU Batch 10 · Phase 2 — Mini Use Case 02 · Supervised Learning Part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6927"/>
      </w:tblGrid>
      <w:tr>
        <w:trPr>
          <w:tblHeader/>
        </w:trPr>
        <w:tc>
          <w:tcPr>
            <w:tcW w:type="dxa" w:w="2099"/>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Field</w:t>
            </w:r>
          </w:p>
        </w:tc>
        <w:tc>
          <w:tcPr>
            <w:tcW w:type="dxa" w:w="6927"/>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Details</w:t>
            </w:r>
          </w:p>
        </w:tc>
      </w:tr>
      <w:tr>
        <w:trPr>
          <w:cantSplit/>
        </w:trPr>
        <w:tc>
          <w:tcPr>
            <w:tcW w:type="dxa" w:w="209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Use case</w:t>
            </w:r>
          </w:p>
        </w:tc>
        <w:tc>
          <w:tcPr>
            <w:tcW w:type="dxa" w:w="692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 — Credit Pre-Screening Engine: Loan Intake Optimisation</w:t>
            </w:r>
          </w:p>
        </w:tc>
      </w:tr>
      <w:tr>
        <w:trPr>
          <w:cantSplit/>
        </w:trPr>
        <w:tc>
          <w:tcPr>
            <w:tcW w:type="dxa" w:w="209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Team members</w:t>
            </w:r>
          </w:p>
        </w:tc>
        <w:tc>
          <w:tcPr>
            <w:tcW w:type="dxa" w:w="692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Naishadh Vytla · Raghunandan · Pradeepthi · Saketh</w:t>
            </w:r>
          </w:p>
        </w:tc>
      </w:tr>
      <w:tr>
        <w:trPr>
          <w:cantSplit/>
        </w:trPr>
        <w:tc>
          <w:tcPr>
            <w:tcW w:type="dxa" w:w="209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Dataset</w:t>
            </w:r>
          </w:p>
        </w:tc>
        <w:tc>
          <w:tcPr>
            <w:tcW w:type="dxa" w:w="692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MUC02_Credit_PreScreening_Dataset.csv: 12,000 applications, 19 columns, Apr–Sep 2026</w:t>
            </w:r>
          </w:p>
        </w:tc>
      </w:tr>
      <w:tr>
        <w:trPr>
          <w:cantSplit/>
        </w:trPr>
        <w:tc>
          <w:tcPr>
            <w:tcW w:type="dxa" w:w="209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Business setting</w:t>
            </w:r>
          </w:p>
        </w:tc>
        <w:tc>
          <w:tcPr>
            <w:tcW w:type="dxa" w:w="692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~3,000 applications a month · ~25 minutes of analyst review each · risk limit: ≤ 5% of auto-declines may be good customers</w:t>
            </w:r>
          </w:p>
        </w:tc>
      </w:tr>
      <w:tr>
        <w:trPr>
          <w:cantSplit/>
        </w:trPr>
        <w:tc>
          <w:tcPr>
            <w:tcW w:type="dxa" w:w="209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Tools</w:t>
            </w:r>
          </w:p>
        </w:tc>
        <w:tc>
          <w:tcPr>
            <w:tcW w:type="dxa" w:w="692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Python · Jupyter/Colab · Pandas · NumPy · Matplotlib · Seaborn · scikit-learn</w:t>
            </w:r>
          </w:p>
        </w:tc>
      </w:tr>
      <w:tr>
        <w:trPr>
          <w:cantSplit/>
        </w:trPr>
        <w:tc>
          <w:tcPr>
            <w:tcW w:type="dxa" w:w="209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Deliverables</w:t>
            </w:r>
          </w:p>
        </w:tc>
        <w:tc>
          <w:tcPr>
            <w:tcW w:type="dxa" w:w="692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Notebook (.ipynb) · CBIM Problem Canvas · insight report · 1-page summary · 4 individual contribution reports · presentation deck · Triage web app (extension)</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At a Glance</w:t>
      </w:r>
    </w:p>
    <w:p>
      <w:pPr>
        <w:spacing w:after="110" w:line="270"/>
      </w:pPr>
      <w:r>
        <w:rPr>
          <w:rFonts w:ascii="Calibri" w:cs="Calibri" w:eastAsia="Calibri" w:hAnsi="Calibri"/>
          <w:sz w:val="21"/>
          <w:szCs w:val="21"/>
        </w:rPr>
        <w:t xml:space="preserve">The five numbers that carry the whole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2790"/>
        <w:gridCol w:w="3774"/>
      </w:tblGrid>
      <w:tr>
        <w:trPr>
          <w:tblHeader/>
        </w:trPr>
        <w:tc>
          <w:tcPr>
            <w:tcW w:type="dxa" w:w="246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Metric</w:t>
            </w:r>
          </w:p>
        </w:tc>
        <w:tc>
          <w:tcPr>
            <w:tcW w:type="dxa" w:w="2790"/>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Value</w:t>
            </w:r>
          </w:p>
        </w:tc>
        <w:tc>
          <w:tcPr>
            <w:tcW w:type="dxa" w:w="3774"/>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What it tells us</w:t>
            </w:r>
          </w:p>
        </w:tc>
      </w:tr>
      <w:tr>
        <w:trPr>
          <w:cantSplit/>
        </w:trPr>
        <w:tc>
          <w:tcPr>
            <w:tcW w:type="dxa" w:w="24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Applications analysed</w:t>
            </w:r>
          </w:p>
        </w:tc>
        <w:tc>
          <w:tcPr>
            <w:tcW w:type="dxa" w:w="279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12,000 · 52.9% approved</w:t>
            </w:r>
          </w:p>
        </w:tc>
        <w:tc>
          <w:tcPr>
            <w:tcW w:type="dxa" w:w="377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Six months of decisions; a balanced target</w:t>
            </w:r>
          </w:p>
        </w:tc>
      </w:tr>
      <w:tr>
        <w:trPr>
          <w:cantSplit/>
        </w:trPr>
        <w:tc>
          <w:tcPr>
            <w:tcW w:type="dxa" w:w="24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Credit score floor</w:t>
            </w:r>
          </w:p>
        </w:tc>
        <w:tc>
          <w:tcPr>
            <w:tcW w:type="dxa" w:w="279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3.0% approved below 650</w:t>
            </w:r>
          </w:p>
        </w:tc>
        <w:tc>
          <w:tcPr>
            <w:tcW w:type="dxa" w:w="377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Jumps to 32.5% at 650–699: an unwritten rule</w:t>
            </w:r>
          </w:p>
        </w:tc>
      </w:tr>
      <w:tr>
        <w:trPr>
          <w:cantSplit/>
        </w:trPr>
        <w:tc>
          <w:tcPr>
            <w:tcW w:type="dxa" w:w="24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Affordability cliff</w:t>
            </w:r>
          </w:p>
        </w:tc>
        <w:tc>
          <w:tcPr>
            <w:tcW w:type="dxa" w:w="279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65.5% → 15.6% approved</w:t>
            </w:r>
          </w:p>
        </w:tc>
        <w:tc>
          <w:tcPr>
            <w:tcW w:type="dxa" w:w="377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From FOIR under 30% to FOIR above 55%</w:t>
            </w:r>
          </w:p>
        </w:tc>
      </w:tr>
      <w:tr>
        <w:trPr>
          <w:cantSplit/>
        </w:trPr>
        <w:tc>
          <w:tcPr>
            <w:tcW w:type="dxa" w:w="24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Model at the default 0.5</w:t>
            </w:r>
          </w:p>
        </w:tc>
        <w:tc>
          <w:tcPr>
            <w:tcW w:type="dxa" w:w="279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79.1% accurate · 225 good customers declined</w:t>
            </w:r>
          </w:p>
        </w:tc>
        <w:tc>
          <w:tcPr>
            <w:tcW w:type="dxa" w:w="377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Accuracy hides about 280 wrong declines a month</w:t>
            </w:r>
          </w:p>
        </w:tc>
      </w:tr>
      <w:tr>
        <w:trPr>
          <w:cantSplit/>
        </w:trPr>
        <w:tc>
          <w:tcPr>
            <w:tcW w:type="dxa" w:w="24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Recommended lane</w:t>
            </w:r>
          </w:p>
        </w:tc>
        <w:tc>
          <w:tcPr>
            <w:tcW w:type="dxa" w:w="279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0.90 + new-to-credit to humans</w:t>
            </w:r>
          </w:p>
        </w:tc>
        <w:tc>
          <w:tcPr>
            <w:tcW w:type="dxa" w:w="377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441 applications and 184 analyst hours a month, 3.1% wrong</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1. Ownership &amp; Contribution</w:t>
      </w:r>
    </w:p>
    <w:p>
      <w:pPr>
        <w:spacing w:after="110" w:line="270"/>
      </w:pPr>
      <w:r>
        <w:rPr>
          <w:rFonts w:ascii="Calibri" w:cs="Calibri" w:eastAsia="Calibri" w:hAnsi="Calibri"/>
          <w:sz w:val="21"/>
          <w:szCs w:val="21"/>
        </w:rPr>
        <w:t xml:space="preserve">Work was divided across the four members. Each member owns analysis sections plus one cross-cutting deliverable, so the load is balanced across both the analysis and the submission artefacts. The brief defines roles for teams of two or three; as a team of four we split the Data Analyst role into data foundation (5.1) and approval drivers (5.2–5.3).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1"/>
        <w:gridCol w:w="3540"/>
        <w:gridCol w:w="3185"/>
      </w:tblGrid>
      <w:tr>
        <w:trPr>
          <w:tblHeader/>
        </w:trPr>
        <w:tc>
          <w:tcPr>
            <w:tcW w:type="dxa" w:w="2301"/>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Member</w:t>
            </w:r>
          </w:p>
        </w:tc>
        <w:tc>
          <w:tcPr>
            <w:tcW w:type="dxa" w:w="3540"/>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Analysis sections owned</w:t>
            </w:r>
          </w:p>
        </w:tc>
        <w:tc>
          <w:tcPr>
            <w:tcW w:type="dxa" w:w="3185"/>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Cross-cutting deliverable</w:t>
            </w:r>
          </w:p>
        </w:tc>
      </w:tr>
      <w:tr>
        <w:trPr>
          <w:cantSplit/>
        </w:trPr>
        <w:tc>
          <w:tcPr>
            <w:tcW w:type="dxa" w:w="230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Naishadh Vytla</w:t>
            </w:r>
          </w:p>
          <w:p>
            <w:r>
              <w:rPr>
                <w:rFonts w:ascii="Calibri" w:cs="Calibri" w:eastAsia="Calibri" w:hAnsi="Calibri"/>
                <w:sz w:val="19"/>
                <w:szCs w:val="19"/>
              </w:rPr>
              <w:t xml:space="preserve">Data Analyst</w:t>
            </w:r>
          </w:p>
        </w:tc>
        <w:tc>
          <w:tcPr>
            <w:tcW w:type="dxa" w:w="354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CBIM canvas (led)</w:t>
            </w:r>
          </w:p>
          <w:p>
            <w:r>
              <w:rPr>
                <w:rFonts w:ascii="Calibri" w:cs="Calibri" w:eastAsia="Calibri" w:hAnsi="Calibri"/>
                <w:sz w:val="19"/>
                <w:szCs w:val="19"/>
              </w:rPr>
              <w:t xml:space="preserve">Step 5.1 — Load, inspect &amp; clean</w:t>
            </w:r>
          </w:p>
        </w:tc>
        <w:tc>
          <w:tcPr>
            <w:tcW w:type="dxa" w:w="3185"/>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Notebook assembly · Triage web app (beyond scope)</w:t>
            </w:r>
          </w:p>
        </w:tc>
      </w:tr>
      <w:tr>
        <w:trPr>
          <w:cantSplit/>
        </w:trPr>
        <w:tc>
          <w:tcPr>
            <w:tcW w:type="dxa" w:w="230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Raghunandan</w:t>
            </w:r>
          </w:p>
          <w:p>
            <w:r>
              <w:rPr>
                <w:rFonts w:ascii="Calibri" w:cs="Calibri" w:eastAsia="Calibri" w:hAnsi="Calibri"/>
                <w:sz w:val="19"/>
                <w:szCs w:val="19"/>
              </w:rPr>
              <w:t xml:space="preserve">Insight Analyst</w:t>
            </w:r>
          </w:p>
        </w:tc>
        <w:tc>
          <w:tcPr>
            <w:tcW w:type="dxa" w:w="354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5.2 — What drives approval today?</w:t>
            </w:r>
          </w:p>
          <w:p>
            <w:r>
              <w:rPr>
                <w:rFonts w:ascii="Calibri" w:cs="Calibri" w:eastAsia="Calibri" w:hAnsi="Calibri"/>
                <w:sz w:val="19"/>
                <w:szCs w:val="19"/>
              </w:rPr>
              <w:t xml:space="preserve">Step 5.3 — Affordability features</w:t>
            </w:r>
          </w:p>
        </w:tc>
        <w:tc>
          <w:tcPr>
            <w:tcW w:type="dxa" w:w="3185"/>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Chart style consistency pass · team documentation</w:t>
            </w:r>
          </w:p>
        </w:tc>
      </w:tr>
      <w:tr>
        <w:trPr>
          <w:cantSplit/>
        </w:trPr>
        <w:tc>
          <w:tcPr>
            <w:tcW w:type="dxa" w:w="230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Pradeepthi</w:t>
            </w:r>
          </w:p>
          <w:p>
            <w:r>
              <w:rPr>
                <w:rFonts w:ascii="Calibri" w:cs="Calibri" w:eastAsia="Calibri" w:hAnsi="Calibri"/>
                <w:sz w:val="19"/>
                <w:szCs w:val="19"/>
              </w:rPr>
              <w:t xml:space="preserve">Model Builder</w:t>
            </w:r>
          </w:p>
        </w:tc>
        <w:tc>
          <w:tcPr>
            <w:tcW w:type="dxa" w:w="354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5.4 — Logistic regression pre-screener</w:t>
            </w:r>
          </w:p>
          <w:p>
            <w:r>
              <w:rPr>
                <w:rFonts w:ascii="Calibri" w:cs="Calibri" w:eastAsia="Calibri" w:hAnsi="Calibri"/>
                <w:sz w:val="19"/>
                <w:szCs w:val="19"/>
              </w:rPr>
              <w:t xml:space="preserve">Step 5.5 — Auto-decline threshold</w:t>
            </w:r>
          </w:p>
        </w:tc>
        <w:tc>
          <w:tcPr>
            <w:tcW w:type="dxa" w:w="3185"/>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Presentation deck</w:t>
            </w:r>
          </w:p>
        </w:tc>
      </w:tr>
      <w:tr>
        <w:trPr>
          <w:cantSplit/>
        </w:trPr>
        <w:tc>
          <w:tcPr>
            <w:tcW w:type="dxa" w:w="230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Saketh</w:t>
            </w:r>
          </w:p>
          <w:p>
            <w:r>
              <w:rPr>
                <w:rFonts w:ascii="Calibri" w:cs="Calibri" w:eastAsia="Calibri" w:hAnsi="Calibri"/>
                <w:sz w:val="19"/>
                <w:szCs w:val="19"/>
              </w:rPr>
              <w:t xml:space="preserve">Policy Synthesiser</w:t>
            </w:r>
          </w:p>
        </w:tc>
        <w:tc>
          <w:tcPr>
            <w:tcW w:type="dxa" w:w="3540"/>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5.6 — Fairness check</w:t>
            </w:r>
          </w:p>
          <w:p>
            <w:r>
              <w:rPr>
                <w:rFonts w:ascii="Calibri" w:cs="Calibri" w:eastAsia="Calibri" w:hAnsi="Calibri"/>
                <w:sz w:val="19"/>
                <w:szCs w:val="19"/>
              </w:rPr>
              <w:t xml:space="preserve">Step 5.7 — Credit Policy Briefing</w:t>
            </w:r>
          </w:p>
        </w:tc>
        <w:tc>
          <w:tcPr>
            <w:tcW w:type="dxa" w:w="3185"/>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End-to-end QA · 1-page summary · submission checklist</w:t>
            </w:r>
          </w:p>
        </w:tc>
      </w:tr>
    </w:tbl>
    <w:p>
      <w:pPr>
        <w:spacing w:after="110" w:before="100"/>
      </w:pPr>
      <w:r>
        <w:rPr>
          <w:rFonts w:ascii="Calibri" w:cs="Calibri" w:eastAsia="Calibri" w:hAnsi="Calibri"/>
          <w:sz w:val="21"/>
          <w:szCs w:val="21"/>
        </w:rPr>
        <w:t xml:space="preserve">The CBIM Problem Canvas was completed jointly by all four members before any analysis code was written. Each step's markdown cell in the notebook carries its owner's name.</w:t>
      </w:r>
    </w:p>
    <w:p>
      <w:pPr>
        <w:keepNext/>
        <w:keepLines/>
        <w:pBdr>
          <w:bottom w:val="single" w:color="9DB6D3" w:sz="6" w:space="3"/>
        </w:pBdr>
        <w:spacing w:after="120" w:before="280"/>
      </w:pPr>
      <w:r>
        <w:rPr>
          <w:rFonts w:ascii="Calibri" w:cs="Calibri" w:eastAsia="Calibri" w:hAnsi="Calibri"/>
          <w:b/>
          <w:bCs/>
          <w:color w:val="1F4E79"/>
          <w:sz w:val="28"/>
          <w:szCs w:val="28"/>
        </w:rPr>
        <w:t xml:space="preserve">2. CBIM Problem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7064"/>
      </w:tblGrid>
      <w:tr>
        <w:trPr>
          <w:tblHeader/>
        </w:trPr>
        <w:tc>
          <w:tcPr>
            <w:tcW w:type="dxa" w:w="196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Canvas element</w:t>
            </w:r>
          </w:p>
        </w:tc>
        <w:tc>
          <w:tcPr>
            <w:tcW w:type="dxa" w:w="7064"/>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Our answer</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Situation (S)</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 mid-size private bank's retail lending unit receives about 3,000 unsecured personal loan applications a month from across India. An analyst reviews every one manually, at about 25 minutes each.</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Complication (C)</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Close to half are declined, many for reasons visible in the first minute (a very low score, or EMIs that already take most of the income). Analyst hours go on clear-cut cases, applicants who need judgement wait longer, and the unit cannot grow without hiring.</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Question (Q)</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Which applications can be auto-declined, at what model confidence, while keeping wrongly declined good customers at or below 5% of automatic declines? How many applications and analyst hours does that free each month?</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SSOT</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MUC02_Credit_PreScreening_Dataset.csv: 12,000 applications, Apr–Sep 2026, cleaned once in Step 5.1 and read by every later step. The decision column is </w:t>
            </w:r>
            <w:r>
              <w:rPr>
                <w:rFonts w:ascii="Calibri" w:cs="Calibri" w:eastAsia="Calibri" w:hAnsi="Calibri"/>
                <w:sz w:val="19"/>
                <w:szCs w:val="19"/>
              </w:rPr>
              <w:t xml:space="preserve">the credit team's past judgement, not repayment</w:t>
            </w:r>
            <w:r>
              <w:rPr>
                <w:rFonts w:ascii="Calibri" w:cs="Calibri" w:eastAsia="Calibri" w:hAnsi="Calibri"/>
                <w:sz w:val="19"/>
                <w:szCs w:val="19"/>
              </w:rPr>
              <w:t xml:space="preserve">, so the model copies analyst decisions, including any bias in them.</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Success definition</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 threshold where ≤ 5% of automatic declines were applications the bank approved, stated as applications and analyst hours freed per month, plus a named group the model must not decide for and no widening of the gender gap.</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Primary stakeholder</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The Credit Policy Analyst, who presents to the Head of Retail Lending. Also affected: the analysts whose queue changes, and the applicants, especially creditworthy ones an automatic decline would turn away.</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3. Data Quality &amp; the Single Source of Truth</w:t>
      </w:r>
    </w:p>
    <w:p>
      <w:pPr>
        <w:spacing w:after="110" w:line="270"/>
      </w:pPr>
      <w:r>
        <w:rPr>
          <w:rFonts w:ascii="Calibri" w:cs="Calibri" w:eastAsia="Calibri" w:hAnsi="Calibri"/>
          <w:sz w:val="21"/>
          <w:szCs w:val="21"/>
        </w:rPr>
        <w:t xml:space="preserve">Three planted issues needed a decision. Each was handled with a flag rather than a silent overwrite, and </w:t>
      </w:r>
      <w:r>
        <w:rPr>
          <w:rFonts w:ascii="Calibri" w:cs="Calibri" w:eastAsia="Calibri" w:hAnsi="Calibri"/>
          <w:b/>
          <w:bCs/>
          <w:sz w:val="21"/>
          <w:szCs w:val="21"/>
        </w:rPr>
        <w:t xml:space="preserve">no rows were dropped</w:t>
      </w:r>
      <w:r>
        <w:rPr>
          <w:rFonts w:ascii="Calibri" w:cs="Calibri" w:eastAsia="Calibri" w:hAnsi="Calibri"/>
          <w:sz w:val="21"/>
          <w:szCs w:val="21"/>
        </w:rPr>
        <w:t xml:space="preserve">: the cleaned frame still holds all 12,000 applications. Every later chart, the model and the web app read from this one cleaned 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Issue</w:t>
            </w:r>
          </w:p>
        </w:tc>
        <w:tc>
          <w:tcPr>
            <w:tcW w:type="dxa" w:w="347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What we found</w:t>
            </w:r>
          </w:p>
        </w:tc>
        <w:tc>
          <w:tcPr>
            <w:tcW w:type="dxa" w:w="3471"/>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Decision</w:t>
            </w:r>
          </w:p>
        </w:tc>
      </w:tr>
      <w:tr>
        <w:trPr>
          <w:cantSplit/>
        </w:trPr>
        <w:tc>
          <w:tcPr>
            <w:tcW w:type="dxa" w:w="2083"/>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12 incomes above ₹6 lakh/month</w:t>
            </w:r>
          </w:p>
        </w:tc>
        <w:tc>
          <w:tcPr>
            <w:tcW w:type="dxa" w:w="347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All Salaried, ₹6.2–16.6 lakh; EMIs and loan sizes look like ordinary earners'</w:t>
            </w:r>
          </w:p>
        </w:tc>
        <w:tc>
          <w:tcPr>
            <w:tcW w:type="dxa" w:w="347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Divided by 12; flagged income_fixed_annual</w:t>
            </w:r>
          </w:p>
        </w:tc>
      </w:tr>
      <w:tr>
        <w:trPr>
          <w:cantSplit/>
        </w:trPr>
        <w:tc>
          <w:tcPr>
            <w:tcW w:type="dxa" w:w="2083"/>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441 missing incomes</w:t>
            </w:r>
          </w:p>
        </w:tc>
        <w:tc>
          <w:tcPr>
            <w:tcW w:type="dxa" w:w="347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Business Owner 13.0%, Self-Employed 10.8%, under 1% elsewhere</w:t>
            </w:r>
          </w:p>
        </w:tc>
        <w:tc>
          <w:tcPr>
            <w:tcW w:type="dxa" w:w="347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Filled with the employment-type median; flagged income_was_missing</w:t>
            </w:r>
          </w:p>
        </w:tc>
      </w:tr>
      <w:tr>
        <w:trPr>
          <w:cantSplit/>
        </w:trPr>
        <w:tc>
          <w:tcPr>
            <w:tcW w:type="dxa" w:w="2083"/>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1,039 blank credit scores</w:t>
            </w:r>
          </w:p>
        </w:tc>
        <w:tc>
          <w:tcPr>
            <w:tcW w:type="dxa" w:w="347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credit_history_months = 0 for every one; median age 29 vs 33</w:t>
            </w:r>
          </w:p>
        </w:tc>
        <w:tc>
          <w:tcPr>
            <w:tcW w:type="dxa" w:w="3471"/>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Kept and flagged is_ntc (8.7% of applicants); score filled with the median only inside the model</w:t>
            </w:r>
          </w:p>
        </w:tc>
      </w:tr>
    </w:tbl>
    <w:p>
      <w:pPr>
        <w:spacing w:after="110" w:before="110"/>
      </w:pPr>
      <w:r>
        <w:rPr>
          <w:rFonts w:ascii="Calibri" w:cs="Calibri" w:eastAsia="Calibri" w:hAnsi="Calibri"/>
          <w:b/>
          <w:bCs/>
          <w:sz w:val="21"/>
          <w:szCs w:val="21"/>
        </w:rPr>
        <w:t xml:space="preserve">The SSOT caveat that shapes everything else:</w:t>
      </w:r>
      <w:r>
        <w:rPr>
          <w:rFonts w:ascii="Calibri" w:cs="Calibri" w:eastAsia="Calibri" w:hAnsi="Calibri"/>
          <w:sz w:val="21"/>
          <w:szCs w:val="21"/>
        </w:rPr>
        <w:t xml:space="preserve"> the target column records what analysts decided, not whether the customer repaid. A model trained on it can only be as good, and as fair, as the past decisions it copies.</w:t>
      </w:r>
    </w:p>
    <w:p>
      <w:pPr>
        <w:keepNext/>
        <w:keepLines/>
        <w:pBdr>
          <w:bottom w:val="single" w:color="9DB6D3" w:sz="6" w:space="3"/>
        </w:pBdr>
        <w:spacing w:after="120" w:before="280"/>
      </w:pPr>
      <w:r>
        <w:rPr>
          <w:rFonts w:ascii="Calibri" w:cs="Calibri" w:eastAsia="Calibri" w:hAnsi="Calibri"/>
          <w:b/>
          <w:bCs/>
          <w:color w:val="1F4E79"/>
          <w:sz w:val="28"/>
          <w:szCs w:val="28"/>
        </w:rPr>
        <w:t xml:space="preserve">4. Findings</w:t>
      </w:r>
    </w:p>
    <w:p>
      <w:pPr>
        <w:keepNext/>
        <w:keepLines/>
        <w:spacing w:after="70" w:before="180"/>
      </w:pPr>
      <w:r>
        <w:rPr>
          <w:rFonts w:ascii="Calibri" w:cs="Calibri" w:eastAsia="Calibri" w:hAnsi="Calibri"/>
          <w:b/>
          <w:bCs/>
          <w:color w:val="1F4E79"/>
          <w:sz w:val="23"/>
          <w:szCs w:val="23"/>
        </w:rPr>
        <w:t xml:space="preserve">Finding 1 — The bank already enforces a credit score floor at 650</w:t>
      </w:r>
    </w:p>
    <w:p>
      <w:pPr>
        <w:spacing w:after="110" w:line="270"/>
      </w:pPr>
      <w:r>
        <w:rPr>
          <w:rFonts w:ascii="Calibri" w:cs="Calibri" w:eastAsia="Calibri" w:hAnsi="Calibri"/>
          <w:sz w:val="21"/>
          <w:szCs w:val="21"/>
        </w:rPr>
        <w:t xml:space="preserve">Approval is 2.0% below 600 and 3.2% at 600–649, then jumps tenfold to 32.5% at 650–699 and reaches 77–85% above 750. No written policy says so, but below 650 analysts almost never approve. These are the "decided in the first minute" applications the brief describes.</w:t>
      </w:r>
    </w:p>
    <w:p>
      <w:pPr>
        <w:keepNext/>
        <w:keepLines/>
        <w:spacing w:after="70" w:before="180"/>
      </w:pPr>
      <w:r>
        <w:rPr>
          <w:rFonts w:ascii="Calibri" w:cs="Calibri" w:eastAsia="Calibri" w:hAnsi="Calibri"/>
          <w:b/>
          <w:bCs/>
          <w:color w:val="1F4E79"/>
          <w:sz w:val="23"/>
          <w:szCs w:val="23"/>
        </w:rPr>
        <w:t xml:space="preserve">Finding 2 — Affordability collapses once EMIs pass half of income</w:t>
      </w:r>
    </w:p>
    <w:p>
      <w:pPr>
        <w:spacing w:after="110" w:line="270"/>
      </w:pPr>
      <w:r>
        <w:rPr>
          <w:rFonts w:ascii="Calibri" w:cs="Calibri" w:eastAsia="Calibri" w:hAnsi="Calibri"/>
          <w:sz w:val="21"/>
          <w:szCs w:val="21"/>
        </w:rPr>
        <w:t xml:space="preserve">FOIR, the share of income going to EMIs including the new loan, is the strongest driver in the data. Approval falls from 65.5% below 30% FOIR to 47.8% at 40–50%, then drops to 32.4% at 50–55% and 15.6% above 55%. We propose a written FOIR limit of 50%, with 50–55% as an exception band that needs sign-off. Gig / Contract applicants are approved least (34.9% vs 58.4% for Salaried), largely because of lower and less stable incomes.</w:t>
      </w:r>
    </w:p>
    <w:p>
      <w:pPr>
        <w:keepNext/>
        <w:keepLines/>
        <w:spacing w:after="70" w:before="180"/>
      </w:pPr>
      <w:r>
        <w:rPr>
          <w:rFonts w:ascii="Calibri" w:cs="Calibri" w:eastAsia="Calibri" w:hAnsi="Calibri"/>
          <w:b/>
          <w:bCs/>
          <w:color w:val="1F4E79"/>
          <w:sz w:val="23"/>
          <w:szCs w:val="23"/>
        </w:rPr>
        <w:t xml:space="preserve">Finding 3 — Accuracy hides the real cost of a wrong decline</w:t>
      </w:r>
    </w:p>
    <w:p>
      <w:pPr>
        <w:spacing w:after="110" w:line="270"/>
      </w:pPr>
      <w:r>
        <w:rPr>
          <w:rFonts w:ascii="Calibri" w:cs="Calibri" w:eastAsia="Calibri" w:hAnsi="Calibri"/>
          <w:sz w:val="21"/>
          <w:szCs w:val="21"/>
        </w:rPr>
        <w:t xml:space="preserve">The logistic regression is 79.1% accurate (ROC-AUC 0.867). At the default 0.5 cut-off, though, it would decline 225 of the 2,400 test applicants the bank approved, about 280 good customers a month. Its largest coefficients are FOIR (+1.22), credit score (−1.01) and late payments (+0.98), so it has learned the bank's real policy rather than noise.</w:t>
      </w:r>
    </w:p>
    <w:p>
      <w:pPr>
        <w:keepNext/>
        <w:keepLines/>
        <w:spacing w:after="70" w:before="180"/>
      </w:pPr>
      <w:r>
        <w:rPr>
          <w:rFonts w:ascii="Calibri" w:cs="Calibri" w:eastAsia="Calibri" w:hAnsi="Calibri"/>
          <w:b/>
          <w:bCs/>
          <w:color w:val="1F4E79"/>
          <w:sz w:val="23"/>
          <w:szCs w:val="23"/>
        </w:rPr>
        <w:t xml:space="preserve">Finding 4 — At 0.90, about 15% of applications can safely leave the queue</w:t>
      </w:r>
    </w:p>
    <w:p>
      <w:pPr>
        <w:spacing w:after="110" w:line="270"/>
      </w:pPr>
      <w:r>
        <w:rPr>
          <w:rFonts w:ascii="Calibri" w:cs="Calibri" w:eastAsia="Calibri" w:hAnsi="Calibri"/>
          <w:sz w:val="21"/>
          <w:szCs w:val="21"/>
        </w:rPr>
        <w:t xml:space="preserve">0.90 is the lowest threshold where wrong declines stay under 5% (4.7%). It auto-declines 15.2% of applications, about 456 a month, freeing about 190 analyst hours. With new-to-credit applicants routed to analysts, 0.85 also passes (4.8%) and would free 238 hours, but with only a 0.2-point margin. We keep 0.90 for a first launch.</w:t>
      </w:r>
    </w:p>
    <w:p>
      <w:pPr>
        <w:keepNext/>
        <w:keepLines/>
        <w:spacing w:after="70" w:before="180"/>
      </w:pPr>
      <w:r>
        <w:rPr>
          <w:rFonts w:ascii="Calibri" w:cs="Calibri" w:eastAsia="Calibri" w:hAnsi="Calibri"/>
          <w:b/>
          <w:bCs/>
          <w:color w:val="1F4E79"/>
          <w:sz w:val="23"/>
          <w:szCs w:val="23"/>
        </w:rPr>
        <w:t xml:space="preserve">Finding 5 — New-to-credit applicants must stay with humans</w:t>
      </w:r>
    </w:p>
    <w:p>
      <w:pPr>
        <w:spacing w:after="110" w:line="270"/>
      </w:pPr>
      <w:r>
        <w:rPr>
          <w:rFonts w:ascii="Calibri" w:cs="Calibri" w:eastAsia="Calibri" w:hAnsi="Calibri"/>
          <w:sz w:val="21"/>
          <w:szCs w:val="21"/>
        </w:rPr>
        <w:t xml:space="preserve">8.7% of applicants have no bureau score. Analysts approve 53.9% of them on judgement, and the model is only 56.7% accurate for them (81.2% for scored applicants). At 0.90, 6 of the 12 new-to-credit applicants it would auto-decline were approved. Routing all of them to analysts costs half a point of volume and cuts wrong declines from 4.7% to 3.1%.</w:t>
      </w:r>
    </w:p>
    <w:p>
      <w:pPr>
        <w:keepNext/>
        <w:keepLines/>
        <w:spacing w:after="70" w:before="180"/>
      </w:pPr>
      <w:r>
        <w:rPr>
          <w:rFonts w:ascii="Calibri" w:cs="Calibri" w:eastAsia="Calibri" w:hAnsi="Calibri"/>
          <w:b/>
          <w:bCs/>
          <w:color w:val="1F4E79"/>
          <w:sz w:val="23"/>
          <w:szCs w:val="23"/>
        </w:rPr>
        <w:t xml:space="preserve">Finding 6 — The gender gap comes mostly from income and job mix</w:t>
      </w:r>
    </w:p>
    <w:p>
      <w:pPr>
        <w:spacing w:after="110" w:line="270"/>
      </w:pPr>
      <w:r>
        <w:rPr>
          <w:rFonts w:ascii="Calibri" w:cs="Calibri" w:eastAsia="Calibri" w:hAnsi="Calibri"/>
          <w:sz w:val="21"/>
          <w:szCs w:val="21"/>
        </w:rPr>
        <w:t xml:space="preserve">Men were approved 54.1% of the time and women 50.4%. Within Gig and Business Owner the gap is under a point; women have lower median incomes (₹45K vs ₹55K) and are almost twice as likely to be gig workers (21.4% vs 11.6%). A gap remains within Self-Employed (4.3 points) and Salaried (2.3 points). The model's auto-decline rates are 15.1% for women and 14.5% for men, so it does not widen the gap.</w:t>
      </w:r>
    </w:p>
    <w:p>
      <w:pPr>
        <w:keepNext/>
        <w:keepLines/>
        <w:pBdr>
          <w:bottom w:val="single" w:color="9DB6D3" w:sz="6" w:space="3"/>
        </w:pBdr>
        <w:spacing w:after="120" w:before="280"/>
      </w:pPr>
      <w:r>
        <w:rPr>
          <w:rFonts w:ascii="Calibri" w:cs="Calibri" w:eastAsia="Calibri" w:hAnsi="Calibri"/>
          <w:b/>
          <w:bCs/>
          <w:color w:val="1F4E79"/>
          <w:sz w:val="28"/>
          <w:szCs w:val="28"/>
        </w:rPr>
        <w:t xml:space="preserve">5. Recommendation to the Credit Policy Analyst</w:t>
      </w:r>
    </w:p>
    <w:p>
      <w:pPr>
        <w:spacing w:after="110" w:line="270"/>
      </w:pPr>
      <w:r>
        <w:rPr>
          <w:rFonts w:ascii="Calibri" w:cs="Calibri" w:eastAsia="Calibri" w:hAnsi="Calibri"/>
          <w:sz w:val="21"/>
          <w:szCs w:val="21"/>
        </w:rPr>
        <w:t xml:space="preserve">We recommend the model auto-declines an application only when it is at least 90% confident the credit team would decline it, and that new-to-credit applicants always go to an analyst. On our test data that takes </w:t>
      </w:r>
      <w:r>
        <w:rPr>
          <w:rFonts w:ascii="Calibri" w:cs="Calibri" w:eastAsia="Calibri" w:hAnsi="Calibri"/>
          <w:b/>
          <w:bCs/>
          <w:sz w:val="21"/>
          <w:szCs w:val="21"/>
        </w:rPr>
        <w:t xml:space="preserve">14.7% of applications, about 441 a month, out of the manual queue and frees about 184 analyst hours a month</w:t>
      </w:r>
      <w:r>
        <w:rPr>
          <w:rFonts w:ascii="Calibri" w:cs="Calibri" w:eastAsia="Calibri" w:hAnsi="Calibri"/>
          <w:sz w:val="21"/>
          <w:szCs w:val="21"/>
        </w:rPr>
        <w:t xml:space="preserve">. Only </w:t>
      </w:r>
      <w:r>
        <w:rPr>
          <w:rFonts w:ascii="Calibri" w:cs="Calibri" w:eastAsia="Calibri" w:hAnsi="Calibri"/>
          <w:b/>
          <w:bCs/>
          <w:sz w:val="21"/>
          <w:szCs w:val="21"/>
        </w:rPr>
        <w:t xml:space="preserve">3.1%</w:t>
      </w:r>
      <w:r>
        <w:rPr>
          <w:rFonts w:ascii="Calibri" w:cs="Calibri" w:eastAsia="Calibri" w:hAnsi="Calibri"/>
          <w:sz w:val="21"/>
          <w:szCs w:val="21"/>
        </w:rPr>
        <w:t xml:space="preserve"> of those would have been approved, well inside the bank's 5% limit. The model's decisions rest on the same two rules analysts already follow: </w:t>
      </w:r>
      <w:r>
        <w:rPr>
          <w:rFonts w:ascii="Calibri" w:cs="Calibri" w:eastAsia="Calibri" w:hAnsi="Calibri"/>
          <w:b/>
          <w:bCs/>
          <w:sz w:val="21"/>
          <w:szCs w:val="21"/>
        </w:rPr>
        <w:t xml:space="preserve">affordability</w:t>
      </w:r>
      <w:r>
        <w:rPr>
          <w:rFonts w:ascii="Calibri" w:cs="Calibri" w:eastAsia="Calibri" w:hAnsi="Calibri"/>
          <w:sz w:val="21"/>
          <w:szCs w:val="21"/>
        </w:rPr>
        <w:t xml:space="preserve">, where approval falls from 65% when EMIs take under 30% of income to 16% once they pass 55%, and </w:t>
      </w:r>
      <w:r>
        <w:rPr>
          <w:rFonts w:ascii="Calibri" w:cs="Calibri" w:eastAsia="Calibri" w:hAnsi="Calibri"/>
          <w:b/>
          <w:bCs/>
          <w:sz w:val="21"/>
          <w:szCs w:val="21"/>
        </w:rPr>
        <w:t xml:space="preserve">credit score</w:t>
      </w:r>
      <w:r>
        <w:rPr>
          <w:rFonts w:ascii="Calibri" w:cs="Calibri" w:eastAsia="Calibri" w:hAnsi="Calibri"/>
          <w:sz w:val="21"/>
          <w:szCs w:val="21"/>
        </w:rPr>
        <w:t xml:space="preserve">, where barely 3% of applicants below 650 are approved. </w:t>
      </w:r>
      <w:r>
        <w:rPr>
          <w:rFonts w:ascii="Calibri" w:cs="Calibri" w:eastAsia="Calibri" w:hAnsi="Calibri"/>
          <w:b/>
          <w:bCs/>
          <w:sz w:val="21"/>
          <w:szCs w:val="21"/>
        </w:rPr>
        <w:t xml:space="preserve">New-to-credit applicants must stay with humans.</w:t>
      </w:r>
      <w:r>
        <w:rPr>
          <w:rFonts w:ascii="Calibri" w:cs="Calibri" w:eastAsia="Calibri" w:hAnsi="Calibri"/>
          <w:sz w:val="21"/>
          <w:szCs w:val="21"/>
        </w:rPr>
        <w:t xml:space="preserve"> The model is only 57% accurate for them, and half of those it would auto-decline were actually approved. Gender is not used, and auto-decline rates are within a point for men and women, but income and job type can act as proxies, so we should </w:t>
      </w:r>
      <w:r>
        <w:rPr>
          <w:rFonts w:ascii="Calibri" w:cs="Calibri" w:eastAsia="Calibri" w:hAnsi="Calibri"/>
          <w:b/>
          <w:bCs/>
          <w:sz w:val="21"/>
          <w:szCs w:val="21"/>
        </w:rPr>
        <w:t xml:space="preserve">report outcomes by gender every month</w:t>
      </w:r>
      <w:r>
        <w:rPr>
          <w:rFonts w:ascii="Calibri" w:cs="Calibri" w:eastAsia="Calibri" w:hAnsi="Calibri"/>
          <w:sz w:val="21"/>
          <w:szCs w:val="21"/>
        </w:rPr>
        <w:t xml:space="preserve">. Before going live we need </w:t>
      </w:r>
      <w:r>
        <w:rPr>
          <w:rFonts w:ascii="Calibri" w:cs="Calibri" w:eastAsia="Calibri" w:hAnsi="Calibri"/>
          <w:b/>
          <w:bCs/>
          <w:sz w:val="21"/>
          <w:szCs w:val="21"/>
        </w:rPr>
        <w:t xml:space="preserve">repayment data</w:t>
      </w:r>
      <w:r>
        <w:rPr>
          <w:rFonts w:ascii="Calibri" w:cs="Calibri" w:eastAsia="Calibri" w:hAnsi="Calibri"/>
          <w:sz w:val="21"/>
          <w:szCs w:val="21"/>
        </w:rPr>
        <w:t xml:space="preserve">: today the model copies past analyst decisions, not whether customers repaid.</w:t>
      </w:r>
    </w:p>
    <w:p>
      <w:pPr>
        <w:keepNext/>
        <w:spacing w:after="50" w:before="120"/>
      </w:pPr>
      <w:r>
        <w:rPr>
          <w:rFonts w:ascii="Calibri" w:cs="Calibri" w:eastAsia="Calibri" w:hAnsi="Calibri"/>
          <w:b/>
          <w:bCs/>
          <w:sz w:val="21"/>
          <w:szCs w:val="21"/>
        </w:rPr>
        <w:t xml:space="preserve">Limitation</w:t>
      </w:r>
    </w:p>
    <w:p>
      <w:pPr>
        <w:spacing w:after="110" w:line="270"/>
      </w:pPr>
      <w:r>
        <w:rPr>
          <w:rFonts w:ascii="Calibri" w:cs="Calibri" w:eastAsia="Calibri" w:hAnsi="Calibri"/>
          <w:sz w:val="21"/>
          <w:szCs w:val="21"/>
        </w:rPr>
        <w:t xml:space="preserve">The target is past analyst judgement, not repayment. The model can neither tell us whether auto-declined applicants would have repaid nor correct any bias in past decisions. The data is six months of one bank's simulated applications; the threshold needs re-validation on live, newer applications.</w:t>
      </w:r>
    </w:p>
    <w:p>
      <w:pPr>
        <w:keepNext/>
        <w:keepLines/>
        <w:pBdr>
          <w:bottom w:val="single" w:color="9DB6D3" w:sz="6" w:space="3"/>
        </w:pBdr>
        <w:spacing w:after="120" w:before="280"/>
      </w:pPr>
      <w:r>
        <w:rPr>
          <w:rFonts w:ascii="Calibri" w:cs="Calibri" w:eastAsia="Calibri" w:hAnsi="Calibri"/>
          <w:b/>
          <w:bCs/>
          <w:color w:val="1F4E79"/>
          <w:sz w:val="28"/>
          <w:szCs w:val="28"/>
        </w:rPr>
        <w:t xml:space="preserve">6. Future Work &amp; Extensions</w:t>
      </w:r>
    </w:p>
    <w:p>
      <w:pPr>
        <w:keepNext/>
        <w:keepLines/>
        <w:spacing w:after="70" w:before="180"/>
      </w:pPr>
      <w:r>
        <w:rPr>
          <w:rFonts w:ascii="Calibri" w:cs="Calibri" w:eastAsia="Calibri" w:hAnsi="Calibri"/>
          <w:b/>
          <w:bCs/>
          <w:color w:val="1F4E79"/>
          <w:sz w:val="23"/>
          <w:szCs w:val="23"/>
        </w:rPr>
        <w:t xml:space="preserve">Link decisions to repayment</w:t>
      </w:r>
    </w:p>
    <w:p>
      <w:pPr>
        <w:spacing w:after="110" w:line="270"/>
      </w:pPr>
      <w:r>
        <w:rPr>
          <w:rFonts w:ascii="Calibri" w:cs="Calibri" w:eastAsia="Calibri" w:hAnsi="Calibri"/>
          <w:sz w:val="21"/>
          <w:szCs w:val="21"/>
        </w:rPr>
        <w:t xml:space="preserve">Joining each approved loan to its 12-month repayment record would let the bank train on outcomes instead of opinions, and test whether the 650 floor and the 50% FOIR limit are the right rules or just the habitual ones.</w:t>
      </w:r>
    </w:p>
    <w:p>
      <w:pPr>
        <w:keepNext/>
        <w:keepLines/>
        <w:spacing w:after="70" w:before="180"/>
      </w:pPr>
      <w:r>
        <w:rPr>
          <w:rFonts w:ascii="Calibri" w:cs="Calibri" w:eastAsia="Calibri" w:hAnsi="Calibri"/>
          <w:b/>
          <w:bCs/>
          <w:color w:val="1F4E79"/>
          <w:sz w:val="23"/>
          <w:szCs w:val="23"/>
        </w:rPr>
        <w:t xml:space="preserve">Re-validate the threshold on live data</w:t>
      </w:r>
    </w:p>
    <w:p>
      <w:pPr>
        <w:spacing w:after="110" w:line="270"/>
      </w:pPr>
      <w:r>
        <w:rPr>
          <w:rFonts w:ascii="Calibri" w:cs="Calibri" w:eastAsia="Calibri" w:hAnsi="Calibri"/>
          <w:sz w:val="21"/>
          <w:szCs w:val="21"/>
        </w:rPr>
        <w:t xml:space="preserve">Run the 0.90 lane in shadow mode for a month: score every application, decline nothing automatically, and compare against analyst decisions. If wrong declines stay well under 5%, test 0.85, which would free about 54 more analyst hours a month.</w:t>
      </w:r>
    </w:p>
    <w:p>
      <w:pPr>
        <w:keepNext/>
        <w:keepLines/>
        <w:spacing w:after="70" w:before="180"/>
      </w:pPr>
      <w:r>
        <w:rPr>
          <w:rFonts w:ascii="Calibri" w:cs="Calibri" w:eastAsia="Calibri" w:hAnsi="Calibri"/>
          <w:b/>
          <w:bCs/>
          <w:color w:val="1F4E79"/>
          <w:sz w:val="23"/>
          <w:szCs w:val="23"/>
        </w:rPr>
        <w:t xml:space="preserve">Productise the workflow — Triage</w:t>
      </w:r>
    </w:p>
    <w:p>
      <w:pPr>
        <w:spacing w:after="110" w:line="270"/>
      </w:pPr>
      <w:r>
        <w:rPr>
          <w:rFonts w:ascii="Calibri" w:cs="Calibri" w:eastAsia="Calibri" w:hAnsi="Calibri"/>
          <w:sz w:val="21"/>
          <w:szCs w:val="21"/>
        </w:rPr>
        <w:t xml:space="preserve">Naishadh Vytla built Triage, a single-page web app that runs the trained model in the browser: score one application with its main drivers, move the threshold against the 5% rule live, triage an intake CSV into lanes, and read the model card. It is live at https://triagecreditscreener.netlify.app, with sign-in, a saved policy and a private history for each user (Supabase with row-level security), and its browser scorer matches scikit-learn on 300 of 300 test rows.</w:t>
      </w:r>
    </w:p>
    <w:p>
      <w:pPr>
        <w:keepNext/>
        <w:keepLines/>
        <w:pBdr>
          <w:bottom w:val="single" w:color="9DB6D3" w:sz="6" w:space="3"/>
        </w:pBdr>
        <w:spacing w:after="120" w:before="280"/>
      </w:pPr>
      <w:r>
        <w:rPr>
          <w:rFonts w:ascii="Calibri" w:cs="Calibri" w:eastAsia="Calibri" w:hAnsi="Calibri"/>
          <w:b/>
          <w:bCs/>
          <w:color w:val="1F4E79"/>
          <w:sz w:val="28"/>
          <w:szCs w:val="28"/>
        </w:rPr>
        <w:t xml:space="preserve">7. Individual Reflections</w:t>
      </w:r>
    </w:p>
    <w:p>
      <w:pPr>
        <w:keepNext/>
        <w:keepLines/>
        <w:spacing w:after="70" w:before="180"/>
      </w:pPr>
      <w:r>
        <w:rPr>
          <w:rFonts w:ascii="Calibri" w:cs="Calibri" w:eastAsia="Calibri" w:hAnsi="Calibri"/>
          <w:b/>
          <w:bCs/>
          <w:color w:val="1F4E79"/>
          <w:sz w:val="23"/>
          <w:szCs w:val="23"/>
        </w:rPr>
        <w:t xml:space="preserve">Naishadh Vytla</w:t>
      </w:r>
    </w:p>
    <w:p>
      <w:pPr>
        <w:spacing w:after="110" w:line="270"/>
      </w:pPr>
      <w:r>
        <w:rPr>
          <w:rFonts w:ascii="Calibri" w:cs="Calibri" w:eastAsia="Calibri" w:hAnsi="Calibri"/>
          <w:sz w:val="21"/>
          <w:szCs w:val="21"/>
        </w:rPr>
        <w:t xml:space="preserve">I owned the CBIM canvas and Step 5.1, then assembled the notebook and built Triage. The moment that mattered most was looking at who had a blank credit score before deciding what to do with them. All 1,039 had zero months of credit history, so they were new-to-credit customers, not bad rows. A dropna() would have quietly removed the one group the model later turned out to be worst at. Writing every cleaning decision as a flag rather than an overwrite meant later steps could still see what had been filled. Building Triage taught me a second lesson: once the model ran in a browser, I had to prove it gave the same answer as scikit-learn, so I checked all 2,400 test applications. From Pradeepthi's threshold work I learned to state a model's quality as people affected per month, not as a percentage.</w:t>
      </w:r>
    </w:p>
    <w:p>
      <w:pPr>
        <w:keepNext/>
        <w:keepLines/>
        <w:spacing w:after="70" w:before="180"/>
      </w:pPr>
      <w:r>
        <w:rPr>
          <w:rFonts w:ascii="Calibri" w:cs="Calibri" w:eastAsia="Calibri" w:hAnsi="Calibri"/>
          <w:b/>
          <w:bCs/>
          <w:color w:val="1F4E79"/>
          <w:sz w:val="23"/>
          <w:szCs w:val="23"/>
        </w:rPr>
        <w:t xml:space="preserve">Raghunandan</w:t>
      </w:r>
    </w:p>
    <w:p>
      <w:pPr>
        <w:spacing w:after="110" w:line="270"/>
      </w:pPr>
      <w:r>
        <w:rPr>
          <w:rFonts w:ascii="Calibri" w:cs="Calibri" w:eastAsia="Calibri" w:hAnsi="Calibri"/>
          <w:sz w:val="21"/>
          <w:szCs w:val="21"/>
        </w:rPr>
        <w:t xml:space="preserve">I owned Steps 5.2 and 5.3: what drives approval today, and the affordability features. Plotting approval by score band changed how I read the whole problem. The drop from 3.2% to 32.5% across 650 is not a trend, it is a rule the analysts already follow without writing it down. FOIR told the same story from the affordability side: approvals hold up to about 50% of income going to EMIs and then collapse. Because I built FOIR myself, it was satisfying that the model later ranked it as the strongest driver. I also ran the chart-consistency pass and drafted this document, which made me read every section closely. From Naishadh Vytla I learned why the No-score group must be shown as its own bar instead of being dropped, and from Saketh that a gap is only explained once you check it within each group.</w:t>
      </w:r>
    </w:p>
    <w:p>
      <w:pPr>
        <w:keepNext/>
        <w:keepLines/>
        <w:spacing w:after="70" w:before="180"/>
      </w:pPr>
      <w:r>
        <w:rPr>
          <w:rFonts w:ascii="Calibri" w:cs="Calibri" w:eastAsia="Calibri" w:hAnsi="Calibri"/>
          <w:b/>
          <w:bCs/>
          <w:color w:val="1F4E79"/>
          <w:sz w:val="23"/>
          <w:szCs w:val="23"/>
        </w:rPr>
        <w:t xml:space="preserve">Pradeepthi</w:t>
      </w:r>
    </w:p>
    <w:p>
      <w:pPr>
        <w:spacing w:after="110" w:line="270"/>
      </w:pPr>
      <w:r>
        <w:rPr>
          <w:rFonts w:ascii="Calibri" w:cs="Calibri" w:eastAsia="Calibri" w:hAnsi="Calibri"/>
          <w:sz w:val="21"/>
          <w:szCs w:val="21"/>
        </w:rPr>
        <w:t xml:space="preserve">I owned Steps 5.4 and 5.5, the model and the threshold, and built the presentation deck. My first instinct was to report 79.1% accuracy as the result. The confusion matrix changed that: 225 applicants the bank approved would have been turned away, roughly 280 good customers a month. The threshold table made the trade-off concrete, and the bank's 5% rule, not the model, picked 0.90. The most interesting decision came after: with new-to-credit applicants routed to analysts, 0.85 also passed at 4.8%. I chose to keep 0.90 because a 0.2-point margin on 2,400 applications is too thin for a first launch. From Raghunandan's FOIR work I learned to read coefficients as policy, and from Saketh that a fair-looking model still needs its outcomes measured by group.</w:t>
      </w:r>
    </w:p>
    <w:p>
      <w:pPr>
        <w:keepNext/>
        <w:keepLines/>
        <w:spacing w:after="70" w:before="180"/>
      </w:pPr>
      <w:r>
        <w:rPr>
          <w:rFonts w:ascii="Calibri" w:cs="Calibri" w:eastAsia="Calibri" w:hAnsi="Calibri"/>
          <w:b/>
          <w:bCs/>
          <w:color w:val="1F4E79"/>
          <w:sz w:val="23"/>
          <w:szCs w:val="23"/>
        </w:rPr>
        <w:t xml:space="preserve">Saketh</w:t>
      </w:r>
    </w:p>
    <w:p>
      <w:pPr>
        <w:spacing w:after="110" w:line="270"/>
      </w:pPr>
      <w:r>
        <w:rPr>
          <w:rFonts w:ascii="Calibri" w:cs="Calibri" w:eastAsia="Calibri" w:hAnsi="Calibri"/>
          <w:sz w:val="21"/>
          <w:szCs w:val="21"/>
        </w:rPr>
        <w:t xml:space="preserve">I owned Steps 5.6 and 5.7, the fairness check and the Credit Policy Briefing, plus end-to-end QA and the 1-page summary. The fairness step was where I had to resist the easy answer. Gender is not in the model, but that alone proves nothing. Measuring outcomes showed a 3.7-point historical gap that mostly disappears within Gig and Business Owner, and is explained largely by income and job mix. The model's auto-decline rates by gender are within a point, so it does not widen the gap, but the proxies are still there, which is why the briefing asks for monthly monitoring. Writing the briefing meant every sentence had to carry a number from someone else's section. From Pradeepthi I learned to state the threshold in hours and customers, and from Naishadh Vytla why the decision column is judgement, not repayment.</w:t>
      </w:r>
    </w:p>
    <w:p>
      <w:pPr>
        <w:keepNext/>
        <w:keepLines/>
        <w:pBdr>
          <w:bottom w:val="single" w:color="9DB6D3" w:sz="6" w:space="3"/>
        </w:pBdr>
        <w:spacing w:after="120" w:before="280"/>
      </w:pPr>
      <w:r>
        <w:rPr>
          <w:rFonts w:ascii="Calibri" w:cs="Calibri" w:eastAsia="Calibri" w:hAnsi="Calibri"/>
          <w:b/>
          <w:bCs/>
          <w:color w:val="1F4E79"/>
          <w:sz w:val="28"/>
          <w:szCs w:val="28"/>
        </w:rPr>
        <w:t xml:space="preserve">8. 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87"/>
        <w:gridCol w:w="3139"/>
      </w:tblGrid>
      <w:tr>
        <w:trPr>
          <w:tblHeader/>
        </w:trPr>
        <w:tc>
          <w:tcPr>
            <w:tcW w:type="dxa" w:w="5887"/>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Requirement</w:t>
            </w:r>
          </w:p>
        </w:tc>
        <w:tc>
          <w:tcPr>
            <w:tcW w:type="dxa" w:w="3139"/>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Status</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Notebook runs end-to-end without errors (restart + run all)</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Verified: 40 cells, 0 errors, 7 charts</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All seven steps present with code and markdown explanation</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Each step's markdown credits the owning team member</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CBIM canvas completed together, all six fields, before analysis</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Every cleaning decision written down with a reason (5.1)</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 cleaning log, no rows dropped</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FOIR, loan-to-income and new-to-credit flag built correctly (5.3)</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Threshold chosen against the 5% rule, impact in applications and hours (5.5)</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0.90: 441 apps · 184 hrs · 3.1% wrong</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Fairness: gap measured, explained, position on proxies (5.6)</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Briefing answers all four points with specific figures (5.7)</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Gender, city, ID, date and decision excluded from model features</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Verified by assertion in Step 5.4</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Individual contribution report from each member</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Files named Batch10_MUC02_KLU_Notebook.ipynb / _Summary.docx</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Complete</w:t>
            </w:r>
          </w:p>
        </w:tc>
      </w:tr>
      <w:tr>
        <w:trPr>
          <w:cantSplit/>
        </w:trPr>
        <w:tc>
          <w:tcPr>
            <w:tcW w:type="dxa" w:w="5887"/>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Extension: Triage web app (Naishadh Vytla)</w:t>
            </w:r>
          </w:p>
        </w:tc>
        <w:tc>
          <w:tcPr>
            <w:tcW w:type="dxa" w:w="313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Deployed at https://triagecreditscreener.netlify.app</w:t>
            </w:r>
          </w:p>
        </w:tc>
      </w:tr>
    </w:tbl>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MUC02 · Team Documentation · Batch 10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2026-10-29T13:26:00.269Z</dcterms:created>
  <dcterms:modified xsi:type="dcterms:W3CDTF">2026-10-29T13:26:00.275Z</dcterms:modified>
</cp:coreProperties>
</file>

<file path=docProps/custom.xml><?xml version="1.0" encoding="utf-8"?>
<Properties xmlns="http://schemas.openxmlformats.org/officeDocument/2006/custom-properties" xmlns:vt="http://schemas.openxmlformats.org/officeDocument/2006/docPropsVTypes"/>
</file>