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Individual Contribution Report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Naishadh Vytla · Data Foundation &amp; Cleaning Lead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Calibo AI Academy · Path 2 · KLU Batch 10 · Phase 2 — Mini Use Case 02 · Supervised Learning Part 1 · Credit Pre-Screening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7064"/>
      </w:tblGrid>
      <w:tr>
        <w:trPr>
          <w:tblHeader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case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MUC02 — Credit Pre-Screening Engine: Loan Intake Optimisation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Batch 10 — Naishadh Vytla · Raghunandan · Pradeepthi · Saketh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Dataset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MUC02_Credit_PreScreening_Dataset.csv: 12,000 applications, Apr–Sep 2026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Tools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· Jupyter/Colab · Pandas · NumPy · Matplotlib · Seaborn · scikit-learn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extension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Triage: live credit pre-screener web app built by Naishadh Vytla · https://triagecreditscreener.netlify.app</w:t>
            </w:r>
          </w:p>
        </w:tc>
      </w:tr>
    </w:tbl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Scope of my contribution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Work on this use case was divided across four members. The sections below are the ones I personally owned, end to 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7064"/>
      </w:tblGrid>
      <w:tr>
        <w:trPr>
          <w:tblHeader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Area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What it covered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CBIM canvas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 the team's Problem Canvas before any code; wrote the SSOT caveat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5.1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Load, inspect and clean the 12,000 applications; the cleaning log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Notebook assembly: one structure, one chart style, path-robust data load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Beyond scope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Triage: the trained model deployed as a browser-based pre-screening app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Cross-cutting deliverable:</w:t>
      </w:r>
      <w:r>
        <w:rPr>
          <w:rFonts w:ascii="Calibri" w:cs="Calibri" w:eastAsia="Calibri" w:hAnsi="Calibri"/>
          <w:sz w:val="21"/>
          <w:szCs w:val="21"/>
        </w:rPr>
        <w:t xml:space="preserve"> Notebook assembly · Triage web app (beyond scope)</w:t>
      </w:r>
    </w:p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What I did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cleaning gate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Checked shape, types and nulls, then investigated each gap before touching it: where incomes were missing, who had no credit score, and which incomes were implausible for a monthly figure.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Flags, not overwrites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Each fix leaves a trace: income_fixed_annual for the 12 annual salaries divided by 12, income_was_missing for the 441 median-filled incomes, and the new-to-credit flag for the 1,039 blank scores. No row was dropped.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Notebook assembly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Merged four members' sections into one notebook with a shared chart palette and a data load that works beside the notebook, in Colab or from the repo's data/ folder; confirmed 40 cells run from a clean kernel with 0 errors.</w:t>
      </w:r>
    </w:p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Findings from my sections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Every figure below is computed from the cleaned dataset and reproduces in the team notebook.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069"/>
        <w:gridCol w:w="3249"/>
      </w:tblGrid>
      <w:tr>
        <w:trPr>
          <w:tblHeader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Figure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Reading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Rows × columns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12,000 × 19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Six months, Apr–Sep 2026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Approval rate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52.9%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Balanced target; accuracy is not misleading on its own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 income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441 rows: Business Owner 13.0%, Self-Employed 10.8%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self-employed pattern, not random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Blank credit score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1,039 rows (8.7%), all with 0 months of history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New-to-credit applicants, median age 29 vs 33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Implausible income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rows above ₹6 lakh/month, all Salaried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Annual salary in a monthly field: ÷ 12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Rows dropped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applicant group stays visible</w:t>
            </w:r>
          </w:p>
        </w:tc>
      </w:tr>
    </w:tbl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Business interpretation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Step 5.1 decides what the model can be trusted on. A blanket dropna() would have removed every new-to-credit applicant, 8.7% of the book and mostly young first-time borrowers, and with them the evidence that the model is barely better than a coin toss for this group. Keeping them flagged is what let Pradeepthi measure that weakness and Saketh put it in the briefing. The same applies to the income fixes: left unfixed, the 12 annual salaries would make those applicants look almost debt-free, and they would be the model's safest-looking applicants for the wrong reason.</w:t>
      </w:r>
    </w:p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Beyond the assigned scope — Triage, a deployed pre-screener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Beyond the assigned scope, I turned the team's model into a working tool the Credit Policy Analyst could use: Triage, live at triagecreditscreener.netlify.app. It runs the trained logistic regression in the browser, with accounts, saved policies and a private history for each user.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6868"/>
      </w:tblGrid>
      <w:tr>
        <w:trPr>
          <w:tblHeader/>
        </w:trPr>
        <w:tc>
          <w:tcPr>
            <w:tcW w:type="dxa" w:w="215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86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Score an application</w:t>
            </w:r>
          </w:p>
        </w:tc>
        <w:tc>
          <w:tcPr>
            <w:tcW w:type="dxa" w:w="686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or edit an application and see the lane (auto-decline, analyst review, or analyst only for new-to-credit), the model's decline confidence against the threshold, FOIR and loan-to-income with policy flags, and the six factors that moved the score most.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 explorer</w:t>
            </w:r>
          </w:p>
        </w:tc>
        <w:tc>
          <w:tcPr>
            <w:tcW w:type="dxa" w:w="686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 the threshold and watch the share auto-declined, applications and analyst hours per month, wrong declines and good customers turned away update against the bank's 5% rule, recomputed live from the 2,400 test predictions.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Batch triage</w:t>
            </w:r>
          </w:p>
        </w:tc>
        <w:tc>
          <w:tcPr>
            <w:tcW w:type="dxa" w:w="686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an intake CSV with the bank's columns. Triage applies the team's cleaning rules, scores every row, sorts the file into lanes, checks auto-declines against the bank's decision when present, and exports the scored file.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Fairness monitor</w:t>
            </w:r>
          </w:p>
        </w:tc>
        <w:tc>
          <w:tcPr>
            <w:tcW w:type="dxa" w:w="686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auto-decline rates by gender at the current threshold, the monthly report the briefing asks for.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card</w:t>
            </w:r>
          </w:p>
        </w:tc>
        <w:tc>
          <w:tcPr>
            <w:tcW w:type="dxa" w:w="686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Metrics, coefficients, the confusion matrix at 0.5, how the lanes work, the cleaning rules and the limitations.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 and history</w:t>
            </w:r>
          </w:p>
        </w:tc>
        <w:tc>
          <w:tcPr>
            <w:tcW w:type="dxa" w:w="686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public landing page that scores an example in place; sign-in with email or Google; each user saves their own threshold as a policy and keeps up to 50 scorings and 5 intake files to reopen later. Every save, delete and policy change is written to an audit log.</w:t>
            </w:r>
          </w:p>
        </w:tc>
      </w:tr>
    </w:tbl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approach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model/train_export.py retrains the exact notebook pipeline and exports the scaler, encoder levels, coefficients and test-set predictions to app/model.json, so the model is trained once in Python and shipped as JSON. The app re-implements the same cleaning and scoring in JavaScript, and a parity test checks it against scikit-learn on 300 of 300 test rows. The site is static on Netlify with security headers (CSP, HSTS). Supabase provides authentication, a Postgres database where row-level security keeps each user's rows private, triggers that enforce the save limits and write the audit log, and private per-user storage for uploaded intake files.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it matters for this use case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The brief asks for a threshold the bank can defend. A slider that shows hours freed and good customers lost side by side makes that trade-off visible to someone who will never open the notebook, and the batch view shows what the recommendation means for a real day's intake.</w:t>
      </w:r>
    </w:p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What I learned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Investigating a gap before filling it changes the answer: blank credit scores looked like a data-quality problem and turned out to be a customer segment. Assembling the notebook showed me that a group notebook only works if every section reads from the same cleaned frame. Building Triage taught me that deploying a model is mostly about proving it still behaves the same: the browser scorer had to match scikit-learn on every test application before any number in the app could be trusted.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From my teammates:</w:t>
      </w:r>
      <w:r>
        <w:rPr>
          <w:rFonts w:ascii="Calibri" w:cs="Calibri" w:eastAsia="Calibri" w:hAnsi="Calibri"/>
          <w:sz w:val="21"/>
          <w:szCs w:val="21"/>
        </w:rPr>
        <w:t xml:space="preserve"> From Pradeepthi's threshold work I took the habit of stating a model's quality in people per month rather than percentages. That framing is what the Triage threshold view is built around.</w:t>
      </w:r>
    </w:p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Limitation I would flag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The target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past analyst judgement, not repayment</w:t>
      </w:r>
      <w:r>
        <w:rPr>
          <w:rFonts w:ascii="Calibri" w:cs="Calibri" w:eastAsia="Calibri" w:hAnsi="Calibri"/>
          <w:sz w:val="21"/>
          <w:szCs w:val="21"/>
        </w:rPr>
        <w:t xml:space="preserve">. Every rule the model learned, including the 650 floor, is what analysts did, not what predicts default. Linking decisions to 12-month repayment outcomes is the single most valuable piece of data the bank could add.</w:t>
      </w:r>
    </w:p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MUC02 · Individual report · Naishadh Vytla  ·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2026-10-29T13:26:00.423Z</dcterms:created>
  <dcterms:modified xsi:type="dcterms:W3CDTF">2026-10-29T13:26:00.423Z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