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4"/>
          <w:szCs w:val="34"/>
        </w:rPr>
        <w:t xml:space="preserve">Individual Contribution Report</w:t>
      </w:r>
    </w:p>
    <w:p>
      <w:pPr>
        <w:spacing w:after="30"/>
      </w:pPr>
      <w:r>
        <w:rPr>
          <w:rFonts w:ascii="Calibri" w:cs="Calibri" w:eastAsia="Calibri" w:hAnsi="Calibri"/>
          <w:b/>
          <w:bCs/>
          <w:color w:val="595959"/>
          <w:sz w:val="23"/>
          <w:szCs w:val="23"/>
        </w:rPr>
        <w:t xml:space="preserve">Pradeepthi · Model Builder &amp; Threshold Owner</w:t>
      </w:r>
    </w:p>
    <w:p>
      <w:pPr>
        <w:spacing w:after="180"/>
      </w:pPr>
      <w:r>
        <w:rPr>
          <w:rFonts w:ascii="Calibri" w:cs="Calibri" w:eastAsia="Calibri" w:hAnsi="Calibri"/>
          <w:i/>
          <w:iCs/>
          <w:color w:val="595959"/>
          <w:sz w:val="18"/>
          <w:szCs w:val="18"/>
        </w:rPr>
        <w:t xml:space="preserve">Calibo AI Academy · Path 2 · KLU Batch 10 · Phase 2 — Mini Use Case 02 · Supervised Learning Part 1 · Credit Pre-Screening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7064"/>
      </w:tblGrid>
      <w:tr>
        <w:trPr>
          <w:tblHeader/>
        </w:trPr>
        <w:tc>
          <w:tcPr>
            <w:tcW w:type="dxa" w:w="1962"/>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Field</w:t>
            </w:r>
          </w:p>
        </w:tc>
        <w:tc>
          <w:tcPr>
            <w:tcW w:type="dxa" w:w="7064"/>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Details</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Use case</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MUC02 — Credit Pre-Screening Engine: Loan Intake Optimisation</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Team</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Batch 10 — Naishadh Vytla · Raghunandan · Pradeepthi · Saketh</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Dataset</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MUC02_Credit_PreScreening_Dataset.csv: 12,000 applications, Apr–Sep 2026</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Tools</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Python · Jupyter/Colab · Pandas · NumPy · Matplotlib · Seaborn · scikit-learn</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Team extension</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Triage: live credit pre-screener web app built by Naishadh Vytla · https://triagecreditscreener.netlify.app</w:t>
            </w:r>
          </w:p>
        </w:tc>
      </w:tr>
    </w:tbl>
    <w:p>
      <w:pPr>
        <w:keepNext/>
        <w:keepLines/>
        <w:pBdr>
          <w:bottom w:val="single" w:color="9DB6D3" w:sz="6" w:space="3"/>
        </w:pBdr>
        <w:spacing w:after="120" w:before="280"/>
      </w:pPr>
      <w:r>
        <w:rPr>
          <w:rFonts w:ascii="Calibri" w:cs="Calibri" w:eastAsia="Calibri" w:hAnsi="Calibri"/>
          <w:b/>
          <w:bCs/>
          <w:color w:val="1F4E79"/>
          <w:sz w:val="28"/>
          <w:szCs w:val="28"/>
        </w:rPr>
        <w:t xml:space="preserve">1. Scope of my contribution</w:t>
      </w:r>
    </w:p>
    <w:p>
      <w:pPr>
        <w:spacing w:after="110" w:line="270"/>
      </w:pPr>
      <w:r>
        <w:rPr>
          <w:rFonts w:ascii="Calibri" w:cs="Calibri" w:eastAsia="Calibri" w:hAnsi="Calibri"/>
          <w:sz w:val="21"/>
          <w:szCs w:val="21"/>
        </w:rPr>
        <w:t xml:space="preserve">Work on this use case was divided across four members. The sections below are the ones I personally owned,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7064"/>
      </w:tblGrid>
      <w:tr>
        <w:trPr>
          <w:tblHeader/>
        </w:trPr>
        <w:tc>
          <w:tcPr>
            <w:tcW w:type="dxa" w:w="1962"/>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Area</w:t>
            </w:r>
          </w:p>
        </w:tc>
        <w:tc>
          <w:tcPr>
            <w:tcW w:type="dxa" w:w="7064"/>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What it covered</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Step 5.4</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Logistic regression pre-screener: features, encoding, split, evaluation and coefficients</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Step 5.5</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Threshold table, the 5% rule, the monthly business case and the new-to-credit carve-out</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Cross-cutting</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Presentation deck for the Credit Policy Analyst</w:t>
            </w:r>
          </w:p>
        </w:tc>
      </w:tr>
    </w:tbl>
    <w:p>
      <w:pPr>
        <w:spacing w:after="100" w:before="100"/>
      </w:pPr>
      <w:r>
        <w:rPr>
          <w:rFonts w:ascii="Calibri" w:cs="Calibri" w:eastAsia="Calibri" w:hAnsi="Calibri"/>
          <w:b/>
          <w:bCs/>
          <w:sz w:val="21"/>
          <w:szCs w:val="21"/>
        </w:rPr>
        <w:t xml:space="preserve">Cross-cutting deliverable:</w:t>
      </w:r>
      <w:r>
        <w:rPr>
          <w:rFonts w:ascii="Calibri" w:cs="Calibri" w:eastAsia="Calibri" w:hAnsi="Calibri"/>
          <w:sz w:val="21"/>
          <w:szCs w:val="21"/>
        </w:rPr>
        <w:t xml:space="preserve"> Presentation deck</w:t>
      </w:r>
    </w:p>
    <w:p>
      <w:pPr>
        <w:keepNext/>
        <w:keepLines/>
        <w:pBdr>
          <w:bottom w:val="single" w:color="9DB6D3" w:sz="6" w:space="3"/>
        </w:pBdr>
        <w:spacing w:after="120" w:before="280"/>
      </w:pPr>
      <w:r>
        <w:rPr>
          <w:rFonts w:ascii="Calibri" w:cs="Calibri" w:eastAsia="Calibri" w:hAnsi="Calibri"/>
          <w:b/>
          <w:bCs/>
          <w:color w:val="1F4E79"/>
          <w:sz w:val="28"/>
          <w:szCs w:val="28"/>
        </w:rPr>
        <w:t xml:space="preserve">2. What I did</w:t>
      </w:r>
    </w:p>
    <w:p>
      <w:pPr>
        <w:keepNext/>
        <w:spacing w:after="50" w:before="120"/>
      </w:pPr>
      <w:r>
        <w:rPr>
          <w:rFonts w:ascii="Calibri" w:cs="Calibri" w:eastAsia="Calibri" w:hAnsi="Calibri"/>
          <w:b/>
          <w:bCs/>
          <w:sz w:val="21"/>
          <w:szCs w:val="21"/>
        </w:rPr>
        <w:t xml:space="preserve">The model</w:t>
      </w:r>
    </w:p>
    <w:p>
      <w:pPr>
        <w:spacing w:after="110" w:line="270"/>
      </w:pPr>
      <w:r>
        <w:rPr>
          <w:rFonts w:ascii="Calibri" w:cs="Calibri" w:eastAsia="Calibri" w:hAnsi="Calibri"/>
          <w:sz w:val="21"/>
          <w:szCs w:val="21"/>
        </w:rPr>
        <w:t xml:space="preserve">Predicted Declined (= 1) from the twelve specified features, with scaled numerics and one-hot employment type and loan purpose; 80/20 split with stratify and random_state=42. An assertion guarantees gender, city, ID, date and decision never enter the features.</w:t>
      </w:r>
    </w:p>
    <w:p>
      <w:pPr>
        <w:keepNext/>
        <w:spacing w:after="50" w:before="120"/>
      </w:pPr>
      <w:r>
        <w:rPr>
          <w:rFonts w:ascii="Calibri" w:cs="Calibri" w:eastAsia="Calibri" w:hAnsi="Calibri"/>
          <w:b/>
          <w:bCs/>
          <w:sz w:val="21"/>
          <w:szCs w:val="21"/>
        </w:rPr>
        <w:t xml:space="preserve">Business-language evaluation</w:t>
      </w:r>
    </w:p>
    <w:p>
      <w:pPr>
        <w:spacing w:after="110" w:line="270"/>
      </w:pPr>
      <w:r>
        <w:rPr>
          <w:rFonts w:ascii="Calibri" w:cs="Calibri" w:eastAsia="Calibri" w:hAnsi="Calibri"/>
          <w:sz w:val="21"/>
          <w:szCs w:val="21"/>
        </w:rPr>
        <w:t xml:space="preserve">Reported the confusion matrix as people: good customers wrongly declined, and declines passed on to analysts. Measured accuracy separately for scored and new-to-credit applicants.</w:t>
      </w:r>
    </w:p>
    <w:p>
      <w:pPr>
        <w:keepNext/>
        <w:spacing w:after="50" w:before="120"/>
      </w:pPr>
      <w:r>
        <w:rPr>
          <w:rFonts w:ascii="Calibri" w:cs="Calibri" w:eastAsia="Calibri" w:hAnsi="Calibri"/>
          <w:b/>
          <w:bCs/>
          <w:sz w:val="21"/>
          <w:szCs w:val="21"/>
        </w:rPr>
        <w:t xml:space="preserve">The threshold decision</w:t>
      </w:r>
    </w:p>
    <w:p>
      <w:pPr>
        <w:spacing w:after="110" w:line="270"/>
      </w:pPr>
      <w:r>
        <w:rPr>
          <w:rFonts w:ascii="Calibri" w:cs="Calibri" w:eastAsia="Calibri" w:hAnsi="Calibri"/>
          <w:sz w:val="21"/>
          <w:szCs w:val="21"/>
        </w:rPr>
        <w:t xml:space="preserve">Built the threshold table for 0.50–0.95, applied the bank's 5% rule, translated the result into applications and analyst hours, then tested routing new-to-credit applicants to analysts and weighed 0.85 against 0.90.</w:t>
      </w:r>
    </w:p>
    <w:p>
      <w:pPr>
        <w:keepNext/>
        <w:keepLines/>
        <w:pBdr>
          <w:bottom w:val="single" w:color="9DB6D3" w:sz="6" w:space="3"/>
        </w:pBdr>
        <w:spacing w:after="120" w:before="280"/>
      </w:pPr>
      <w:r>
        <w:rPr>
          <w:rFonts w:ascii="Calibri" w:cs="Calibri" w:eastAsia="Calibri" w:hAnsi="Calibri"/>
          <w:b/>
          <w:bCs/>
          <w:color w:val="1F4E79"/>
          <w:sz w:val="28"/>
          <w:szCs w:val="28"/>
        </w:rPr>
        <w:t xml:space="preserve">3. Findings from my sections</w:t>
      </w:r>
    </w:p>
    <w:p>
      <w:pPr>
        <w:spacing w:after="110" w:line="270"/>
      </w:pPr>
      <w:r>
        <w:rPr>
          <w:rFonts w:ascii="Calibri" w:cs="Calibri" w:eastAsia="Calibri" w:hAnsi="Calibri"/>
          <w:sz w:val="21"/>
          <w:szCs w:val="21"/>
        </w:rPr>
        <w:t xml:space="preserve">Every figure below is computed from the cleaned dataset and reproduces in the team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069"/>
        <w:gridCol w:w="3249"/>
      </w:tblGrid>
      <w:tr>
        <w:trPr>
          <w:tblHeader/>
        </w:trPr>
        <w:tc>
          <w:tcPr>
            <w:tcW w:type="dxa" w:w="2708"/>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Item</w:t>
            </w:r>
          </w:p>
        </w:tc>
        <w:tc>
          <w:tcPr>
            <w:tcW w:type="dxa" w:w="3069"/>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Figure</w:t>
            </w:r>
          </w:p>
        </w:tc>
        <w:tc>
          <w:tcPr>
            <w:tcW w:type="dxa" w:w="3249"/>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Reading</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Accuracy / ROC-AUC</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79.1% / 0.867</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Test set of 2,400 applications</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Good customers declined at 0.5</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225 (≈ 280 a month)</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Why 0.5 is not a pre-screener</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Precision / recall (Declined)</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79.1% / 75.5%</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Accuracy: scored vs new to credit</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81.2% vs 56.7%</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Near a coin toss without a score</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0.90, all applicants</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15.2% auto-declined · 4.7% wrong</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456 apps · 190 hrs a month</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0.90, NTC to analysts</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14.7% · 3.1% wrong</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441 apps · 184 hrs: recommended</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0.85, NTC to analysts</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19.0% · 4.8% wrong</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571 apps · 238 hrs: too thin a margin</w:t>
            </w:r>
          </w:p>
        </w:tc>
      </w:tr>
    </w:tbl>
    <w:p>
      <w:pPr>
        <w:keepNext/>
        <w:keepLines/>
        <w:pBdr>
          <w:bottom w:val="single" w:color="9DB6D3" w:sz="6" w:space="3"/>
        </w:pBdr>
        <w:spacing w:after="120" w:before="280"/>
      </w:pPr>
      <w:r>
        <w:rPr>
          <w:rFonts w:ascii="Calibri" w:cs="Calibri" w:eastAsia="Calibri" w:hAnsi="Calibri"/>
          <w:b/>
          <w:bCs/>
          <w:color w:val="1F4E79"/>
          <w:sz w:val="28"/>
          <w:szCs w:val="28"/>
        </w:rPr>
        <w:t xml:space="preserve">4. Business interpretation</w:t>
      </w:r>
    </w:p>
    <w:p>
      <w:pPr>
        <w:spacing w:after="110" w:line="270"/>
      </w:pPr>
      <w:r>
        <w:rPr>
          <w:rFonts w:ascii="Calibri" w:cs="Calibri" w:eastAsia="Calibri" w:hAnsi="Calibri"/>
          <w:sz w:val="21"/>
          <w:szCs w:val="21"/>
        </w:rPr>
        <w:t xml:space="preserve">The model is a means; the threshold is the product. At 0.5 the model would turn away one good customer in every five it touches, which no credit team could defend. The bank's own risk appetite, at most 5% wrong declines, is what picks 0.90, and the model only shows where that limit falls. Routing new-to-credit applicants to analysts makes the lane safer for almost no cost in volume. 0.85 also passes once they are excluded, but its 0.2-point margin is within what a different sample could erase, so 0.90 is the defensible first step.</w:t>
      </w:r>
    </w:p>
    <w:p>
      <w:pPr>
        <w:keepNext/>
        <w:keepLines/>
        <w:pBdr>
          <w:bottom w:val="single" w:color="9DB6D3" w:sz="6" w:space="3"/>
        </w:pBdr>
        <w:spacing w:after="120" w:before="280"/>
      </w:pPr>
      <w:r>
        <w:rPr>
          <w:rFonts w:ascii="Calibri" w:cs="Calibri" w:eastAsia="Calibri" w:hAnsi="Calibri"/>
          <w:b/>
          <w:bCs/>
          <w:color w:val="1F4E79"/>
          <w:sz w:val="28"/>
          <w:szCs w:val="28"/>
        </w:rPr>
        <w:t xml:space="preserve">5. What I learned</w:t>
      </w:r>
    </w:p>
    <w:p>
      <w:pPr>
        <w:spacing w:after="110" w:line="270"/>
      </w:pPr>
      <w:r>
        <w:rPr>
          <w:rFonts w:ascii="Calibri" w:cs="Calibri" w:eastAsia="Calibri" w:hAnsi="Calibri"/>
          <w:sz w:val="21"/>
          <w:szCs w:val="21"/>
        </w:rPr>
        <w:t xml:space="preserve">Accuracy was the wrong headline. The number that matters to the bank is how many creditworthy people a decision turns away, and the threshold, not the algorithm, controls it. I also learned to look for where a model fails before deciding where to use it: the 56.7% accuracy on new-to-credit applicants is what produced the carve-out.</w:t>
      </w:r>
    </w:p>
    <w:p>
      <w:pPr>
        <w:spacing w:after="110" w:line="270"/>
      </w:pPr>
      <w:r>
        <w:rPr>
          <w:rFonts w:ascii="Calibri" w:cs="Calibri" w:eastAsia="Calibri" w:hAnsi="Calibri"/>
          <w:b/>
          <w:bCs/>
          <w:sz w:val="21"/>
          <w:szCs w:val="21"/>
        </w:rPr>
        <w:t xml:space="preserve">From my teammates:</w:t>
      </w:r>
      <w:r>
        <w:rPr>
          <w:rFonts w:ascii="Calibri" w:cs="Calibri" w:eastAsia="Calibri" w:hAnsi="Calibri"/>
          <w:sz w:val="21"/>
          <w:szCs w:val="21"/>
        </w:rPr>
        <w:t xml:space="preserve"> From Raghunandan's FOIR work I learned to read coefficients as policy rather than as maths, and from Saketh that a model which never sees gender still needs its outcomes measured by gender.</w:t>
      </w:r>
    </w:p>
    <w:p>
      <w:pPr>
        <w:keepNext/>
        <w:keepLines/>
        <w:pBdr>
          <w:bottom w:val="single" w:color="9DB6D3" w:sz="6" w:space="3"/>
        </w:pBdr>
        <w:spacing w:after="120" w:before="280"/>
      </w:pPr>
      <w:r>
        <w:rPr>
          <w:rFonts w:ascii="Calibri" w:cs="Calibri" w:eastAsia="Calibri" w:hAnsi="Calibri"/>
          <w:b/>
          <w:bCs/>
          <w:color w:val="1F4E79"/>
          <w:sz w:val="28"/>
          <w:szCs w:val="28"/>
        </w:rPr>
        <w:t xml:space="preserve">6. Limitation I would flag</w:t>
      </w:r>
    </w:p>
    <w:p>
      <w:pPr>
        <w:spacing w:after="110" w:line="270"/>
      </w:pPr>
      <w:r>
        <w:rPr>
          <w:rFonts w:ascii="Calibri" w:cs="Calibri" w:eastAsia="Calibri" w:hAnsi="Calibri"/>
          <w:sz w:val="21"/>
          <w:szCs w:val="21"/>
        </w:rPr>
        <w:t xml:space="preserve">The threshold rests on </w:t>
      </w:r>
      <w:r>
        <w:rPr>
          <w:rFonts w:ascii="Calibri" w:cs="Calibri" w:eastAsia="Calibri" w:hAnsi="Calibri"/>
          <w:b/>
          <w:bCs/>
          <w:sz w:val="21"/>
          <w:szCs w:val="21"/>
        </w:rPr>
        <w:t xml:space="preserve">one 80/20 split</w:t>
      </w:r>
      <w:r>
        <w:rPr>
          <w:rFonts w:ascii="Calibri" w:cs="Calibri" w:eastAsia="Calibri" w:hAnsi="Calibri"/>
          <w:sz w:val="21"/>
          <w:szCs w:val="21"/>
        </w:rPr>
        <w:t xml:space="preserve"> of 2,400 test applications, without cross-validation (not yet in the curriculum). Differences of a few tenths of a point, such as 4.8% against the 5% limit, are within sampling noise, so the threshold should be re-checked on live applications before it is lowered.</w:t>
      </w:r>
    </w:p>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MUC02 · Individual report · Pradeepthi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2026-10-29T13:26:00.489Z</dcterms:created>
  <dcterms:modified xsi:type="dcterms:W3CDTF">2026-10-29T13:26:00.489Z</dcterms:modified>
</cp:coreProperties>
</file>

<file path=docProps/custom.xml><?xml version="1.0" encoding="utf-8"?>
<Properties xmlns="http://schemas.openxmlformats.org/officeDocument/2006/custom-properties" xmlns:vt="http://schemas.openxmlformats.org/officeDocument/2006/docPropsVTypes"/>
</file>