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Individual Contribution Report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Raghunandan · Approval Drivers &amp; Affordability Features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Calibo AI Academy · Path 2 · KLU Batch 10 · Phase 2 — Mini Use Case 02 · Supervised Learning Part 1 · Credit Pre-Screening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7064"/>
      </w:tblGrid>
      <w:tr>
        <w:trPr>
          <w:tblHeader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case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MUC02 — Credit Pre-Screening Engine: Loan Intake Optimisation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Batch 10 — Naishadh Vytla · Raghunandan · Pradeepthi · Saketh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Dataset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MUC02_Credit_PreScreening_Dataset.csv: 12,000 applications, Apr–Sep 2026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Tools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· Jupyter/Colab · Pandas · NumPy · Matplotlib · Seaborn · scikit-learn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 extension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Triage: live credit pre-screener web app built by Naishadh Vytla · https://triagecreditscreener.netlify.app</w:t>
            </w:r>
          </w:p>
        </w:tc>
      </w:tr>
    </w:tbl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Scope of my contribution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Work on this use case was divided across four members. The sections below are the ones I personally owned, end to 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7064"/>
      </w:tblGrid>
      <w:tr>
        <w:trPr>
          <w:tblHeader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Area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What it covered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5.2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Approval rate by credit score band (with a separate No-score group) and by employment type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5.3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Engineered FOIR, loan-to-income and the new-to-credit flag; approval by FOIR band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7064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Chart-consistency pass across all sections; drafted the team documentation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Cross-cutting deliverable:</w:t>
      </w:r>
      <w:r>
        <w:rPr>
          <w:rFonts w:ascii="Calibri" w:cs="Calibri" w:eastAsia="Calibri" w:hAnsi="Calibri"/>
          <w:sz w:val="21"/>
          <w:szCs w:val="21"/>
        </w:rPr>
        <w:t xml:space="preserve"> Chart style consistency pass · team documentation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What I did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Score bands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Grouped credit scores into the six bands from the brief plus a No-score group, so new-to-credit applicants appear as their own bar instead of disappearing.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Affordability features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Built FOIR = (existing EMI + proposed EMI) ÷ monthly income, loan-to-income on annual income, and the new-to-credit flag; banded FOIR at 30, 40, 50 and 55%.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From chart to policy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Turned each chart into a rule a credit team could write down: a 650 score floor, and a 50% FOIR limit with 50–55% as an exception band.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Findings from my sections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Every figure below is computed from the cleaned dataset and reproduces in the team notebook.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069"/>
        <w:gridCol w:w="3249"/>
      </w:tblGrid>
      <w:tr>
        <w:trPr>
          <w:tblHeader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Figure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Reading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Below 600 / 600–649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2.0% / 3.2% approved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Almost never approved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650–699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32.5% approved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Tenfold jump: the unwritten floor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750–799 / 800+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77.2% / 85.2%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Strong scores are usually approved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score (new to credit)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53.9% approved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Analysts use judgement here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Gig vs Salaried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34.9% vs 58.4%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Income level and stability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FOIR &lt; 30% → &gt; 55%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65.5% → 15.6% approved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Sharpest drop past 50%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Applicants above 55% FOIR</w:t>
            </w:r>
          </w:p>
        </w:tc>
        <w:tc>
          <w:tcPr>
            <w:tcW w:type="dxa" w:w="306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1,715 (14.3%)</w:t>
            </w:r>
          </w:p>
        </w:tc>
        <w:tc>
          <w:tcPr>
            <w:tcW w:type="dxa" w:w="3249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second group of first-minute declines</w:t>
            </w:r>
          </w:p>
        </w:tc>
      </w:tr>
    </w:tbl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Business interpretation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These two steps show that the bank's decisions are more rule-based than they look. Two thresholds, a score of 650 and a FOIR of about 50%, explain most of the clear-cut declines, and they are exactly the cases the Head of Retail Lending wants out of the manual queue. That made the modelling step easier to trust: when Pradeepthi's model ranked FOIR (+1.22) and credit score (−1.01) as its two strongest coefficients, it confirmed the model had learned the bank's real policy rather than noise.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What I learned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A chart describes; a finding names a rule. "Lower scores get fewer approvals" is true but useless, while "below 650 the bank almost never approves" is something a policy team can act on. Building FOIR myself also showed me how much a single engineered feature can matter: it became the most important input in the whole model.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From my teammates:</w:t>
      </w:r>
      <w:r>
        <w:rPr>
          <w:rFonts w:ascii="Calibri" w:cs="Calibri" w:eastAsia="Calibri" w:hAnsi="Calibri"/>
          <w:sz w:val="21"/>
          <w:szCs w:val="21"/>
        </w:rPr>
        <w:t xml:space="preserve"> From Naishadh Vytla's cleaning work I learned why the No-score group must be kept and shown, and from Saketh's fairness step that a gap is only explained once you check it within each group.</w:t>
      </w:r>
    </w:p>
    <w:p>
      <w:pPr>
        <w:keepNext/>
        <w:keepLines/>
        <w:pBdr>
          <w:bottom w:val="single" w:color="9DB6D3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Limitation I would flag</w:t>
      </w:r>
    </w:p>
    <w:p>
      <w:pPr>
        <w:spacing w:after="110" w:line="270"/>
      </w:pPr>
      <w:r>
        <w:rPr>
          <w:rFonts w:ascii="Calibri" w:cs="Calibri" w:eastAsia="Calibri" w:hAnsi="Calibri"/>
          <w:sz w:val="21"/>
          <w:szCs w:val="21"/>
        </w:rPr>
        <w:t xml:space="preserve">FOIR depends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declared income</w:t>
      </w:r>
      <w:r>
        <w:rPr>
          <w:rFonts w:ascii="Calibri" w:cs="Calibri" w:eastAsia="Calibri" w:hAnsi="Calibri"/>
          <w:sz w:val="21"/>
          <w:szCs w:val="21"/>
        </w:rPr>
        <w:t xml:space="preserve">, which the data does not verify, and 11–13% of self-employed and business-owner incomes were filled with a median. Their FOIR values are approximate, so the 50% limit is less reliable for exactly the applicants whose income is hardest to check.</w:t>
      </w:r>
    </w:p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MUC02 · Individual report · Raghunandan  ·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2026-10-29T13:26:00.462Z</dcterms:created>
  <dcterms:modified xsi:type="dcterms:W3CDTF">2026-10-29T13:26:00.462Z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