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4E79"/>
          <w:sz w:val="34"/>
          <w:szCs w:val="34"/>
        </w:rPr>
        <w:t xml:space="preserve">Individual Contribution Report</w:t>
      </w:r>
    </w:p>
    <w:p>
      <w:pPr>
        <w:spacing w:after="30"/>
      </w:pPr>
      <w:r>
        <w:rPr>
          <w:rFonts w:ascii="Calibri" w:cs="Calibri" w:eastAsia="Calibri" w:hAnsi="Calibri"/>
          <w:b/>
          <w:bCs/>
          <w:color w:val="595959"/>
          <w:sz w:val="23"/>
          <w:szCs w:val="23"/>
        </w:rPr>
        <w:t xml:space="preserve">Saketh · Fairness &amp; Credit Policy Briefing</w:t>
      </w:r>
    </w:p>
    <w:p>
      <w:pPr>
        <w:spacing w:after="180"/>
      </w:pPr>
      <w:r>
        <w:rPr>
          <w:rFonts w:ascii="Calibri" w:cs="Calibri" w:eastAsia="Calibri" w:hAnsi="Calibri"/>
          <w:i/>
          <w:iCs/>
          <w:color w:val="595959"/>
          <w:sz w:val="18"/>
          <w:szCs w:val="18"/>
        </w:rPr>
        <w:t xml:space="preserve">Calibo AI Academy · Path 2 · KLU Batch 10 · Phase 2 — Mini Use Case 02 · Supervised Learning Part 1 · Credit Pre-Screening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2"/>
        <w:gridCol w:w="7064"/>
      </w:tblGrid>
      <w:tr>
        <w:trPr>
          <w:tblHeader/>
        </w:trPr>
        <w:tc>
          <w:tcPr>
            <w:tcW w:type="dxa" w:w="1962"/>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Field</w:t>
            </w:r>
          </w:p>
        </w:tc>
        <w:tc>
          <w:tcPr>
            <w:tcW w:type="dxa" w:w="7064"/>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Details</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Use case</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MUC02 — Credit Pre-Screening Engine: Loan Intake Optimisation</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Team</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Batch 10 — Naishadh Vytla · Raghunandan · Pradeepthi · Saketh</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Dataset</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MUC02_Credit_PreScreening_Dataset.csv: 12,000 applications, Apr–Sep 2026</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Tools</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Python · Jupyter/Colab · Pandas · NumPy · Matplotlib · Seaborn · scikit-learn</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Team extension</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Triage: live credit pre-screener web app built by Naishadh Vytla · https://triagecreditscreener.netlify.app</w:t>
            </w:r>
          </w:p>
        </w:tc>
      </w:tr>
    </w:tbl>
    <w:p>
      <w:pPr>
        <w:keepNext/>
        <w:keepLines/>
        <w:pBdr>
          <w:bottom w:val="single" w:color="9DB6D3" w:sz="6" w:space="3"/>
        </w:pBdr>
        <w:spacing w:after="120" w:before="280"/>
      </w:pPr>
      <w:r>
        <w:rPr>
          <w:rFonts w:ascii="Calibri" w:cs="Calibri" w:eastAsia="Calibri" w:hAnsi="Calibri"/>
          <w:b/>
          <w:bCs/>
          <w:color w:val="1F4E79"/>
          <w:sz w:val="28"/>
          <w:szCs w:val="28"/>
        </w:rPr>
        <w:t xml:space="preserve">1. Scope of my contribution</w:t>
      </w:r>
    </w:p>
    <w:p>
      <w:pPr>
        <w:spacing w:after="110" w:line="270"/>
      </w:pPr>
      <w:r>
        <w:rPr>
          <w:rFonts w:ascii="Calibri" w:cs="Calibri" w:eastAsia="Calibri" w:hAnsi="Calibri"/>
          <w:sz w:val="21"/>
          <w:szCs w:val="21"/>
        </w:rPr>
        <w:t xml:space="preserve">Work on this use case was divided across four members. The sections below are the ones I personally owned,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62"/>
        <w:gridCol w:w="7064"/>
      </w:tblGrid>
      <w:tr>
        <w:trPr>
          <w:tblHeader/>
        </w:trPr>
        <w:tc>
          <w:tcPr>
            <w:tcW w:type="dxa" w:w="1962"/>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Area</w:t>
            </w:r>
          </w:p>
        </w:tc>
        <w:tc>
          <w:tcPr>
            <w:tcW w:type="dxa" w:w="7064"/>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What it covered</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Step 5.6</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Fairness check: historical gap, within-group gaps, income and job mix, and the model's auto-decline rates by gender</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Step 5.7</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The Credit Policy Briefing, drawing on every other section</w:t>
            </w:r>
          </w:p>
        </w:tc>
      </w:tr>
      <w:tr>
        <w:trPr>
          <w:cantSplit/>
        </w:trPr>
        <w:tc>
          <w:tcPr>
            <w:tcW w:type="dxa" w:w="1962"/>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Cross-cutting</w:t>
            </w:r>
          </w:p>
        </w:tc>
        <w:tc>
          <w:tcPr>
            <w:tcW w:type="dxa" w:w="7064"/>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End-to-end QA (restart + run all), the 1-page summary and the submission checklist</w:t>
            </w:r>
          </w:p>
        </w:tc>
      </w:tr>
    </w:tbl>
    <w:p>
      <w:pPr>
        <w:spacing w:after="100" w:before="100"/>
      </w:pPr>
      <w:r>
        <w:rPr>
          <w:rFonts w:ascii="Calibri" w:cs="Calibri" w:eastAsia="Calibri" w:hAnsi="Calibri"/>
          <w:b/>
          <w:bCs/>
          <w:sz w:val="21"/>
          <w:szCs w:val="21"/>
        </w:rPr>
        <w:t xml:space="preserve">Cross-cutting deliverable:</w:t>
      </w:r>
      <w:r>
        <w:rPr>
          <w:rFonts w:ascii="Calibri" w:cs="Calibri" w:eastAsia="Calibri" w:hAnsi="Calibri"/>
          <w:sz w:val="21"/>
          <w:szCs w:val="21"/>
        </w:rPr>
        <w:t xml:space="preserve"> End-to-end QA · 1-page summary · submission checklist</w:t>
      </w:r>
    </w:p>
    <w:p>
      <w:pPr>
        <w:keepNext/>
        <w:keepLines/>
        <w:pBdr>
          <w:bottom w:val="single" w:color="9DB6D3" w:sz="6" w:space="3"/>
        </w:pBdr>
        <w:spacing w:after="120" w:before="280"/>
      </w:pPr>
      <w:r>
        <w:rPr>
          <w:rFonts w:ascii="Calibri" w:cs="Calibri" w:eastAsia="Calibri" w:hAnsi="Calibri"/>
          <w:b/>
          <w:bCs/>
          <w:color w:val="1F4E79"/>
          <w:sz w:val="28"/>
          <w:szCs w:val="28"/>
        </w:rPr>
        <w:t xml:space="preserve">2. What I did</w:t>
      </w:r>
    </w:p>
    <w:p>
      <w:pPr>
        <w:keepNext/>
        <w:spacing w:after="50" w:before="120"/>
      </w:pPr>
      <w:r>
        <w:rPr>
          <w:rFonts w:ascii="Calibri" w:cs="Calibri" w:eastAsia="Calibri" w:hAnsi="Calibri"/>
          <w:b/>
          <w:bCs/>
          <w:sz w:val="21"/>
          <w:szCs w:val="21"/>
        </w:rPr>
        <w:t xml:space="preserve">Measuring the gap</w:t>
      </w:r>
    </w:p>
    <w:p>
      <w:pPr>
        <w:spacing w:after="110" w:line="270"/>
      </w:pPr>
      <w:r>
        <w:rPr>
          <w:rFonts w:ascii="Calibri" w:cs="Calibri" w:eastAsia="Calibri" w:hAnsi="Calibri"/>
          <w:sz w:val="21"/>
          <w:szCs w:val="21"/>
        </w:rPr>
        <w:t xml:space="preserve">Compared approval rates by gender overall and within each employment type, then compared median income and gig-worker share to see what explains the difference.</w:t>
      </w:r>
    </w:p>
    <w:p>
      <w:pPr>
        <w:keepNext/>
        <w:spacing w:after="50" w:before="120"/>
      </w:pPr>
      <w:r>
        <w:rPr>
          <w:rFonts w:ascii="Calibri" w:cs="Calibri" w:eastAsia="Calibri" w:hAnsi="Calibri"/>
          <w:b/>
          <w:bCs/>
          <w:sz w:val="21"/>
          <w:szCs w:val="21"/>
        </w:rPr>
        <w:t xml:space="preserve">Checking the model</w:t>
      </w:r>
    </w:p>
    <w:p>
      <w:pPr>
        <w:spacing w:after="110" w:line="270"/>
      </w:pPr>
      <w:r>
        <w:rPr>
          <w:rFonts w:ascii="Calibri" w:cs="Calibri" w:eastAsia="Calibri" w:hAnsi="Calibri"/>
          <w:sz w:val="21"/>
          <w:szCs w:val="21"/>
        </w:rPr>
        <w:t xml:space="preserve">Measured the auto-decline rate by gender at the chosen threshold, with and without the new-to-credit carve-out, to see whether the model widens, narrows or keeps the gap.</w:t>
      </w:r>
    </w:p>
    <w:p>
      <w:pPr>
        <w:keepNext/>
        <w:spacing w:after="50" w:before="120"/>
      </w:pPr>
      <w:r>
        <w:rPr>
          <w:rFonts w:ascii="Calibri" w:cs="Calibri" w:eastAsia="Calibri" w:hAnsi="Calibri"/>
          <w:b/>
          <w:bCs/>
          <w:sz w:val="21"/>
          <w:szCs w:val="21"/>
        </w:rPr>
        <w:t xml:space="preserve">The briefing</w:t>
      </w:r>
    </w:p>
    <w:p>
      <w:pPr>
        <w:spacing w:after="110" w:line="270"/>
      </w:pPr>
      <w:r>
        <w:rPr>
          <w:rFonts w:ascii="Calibri" w:cs="Calibri" w:eastAsia="Calibri" w:hAnsi="Calibri"/>
          <w:sz w:val="21"/>
          <w:szCs w:val="21"/>
        </w:rPr>
        <w:t xml:space="preserve">Wrote a 6-sentence briefing that states the threshold with applications and hours, the two strongest drivers with numbers, the group to keep with humans, a fairness position and the data still needed.</w:t>
      </w:r>
    </w:p>
    <w:p>
      <w:pPr>
        <w:keepNext/>
        <w:keepLines/>
        <w:pBdr>
          <w:bottom w:val="single" w:color="9DB6D3" w:sz="6" w:space="3"/>
        </w:pBdr>
        <w:spacing w:after="120" w:before="280"/>
      </w:pPr>
      <w:r>
        <w:rPr>
          <w:rFonts w:ascii="Calibri" w:cs="Calibri" w:eastAsia="Calibri" w:hAnsi="Calibri"/>
          <w:b/>
          <w:bCs/>
          <w:color w:val="1F4E79"/>
          <w:sz w:val="28"/>
          <w:szCs w:val="28"/>
        </w:rPr>
        <w:t xml:space="preserve">3. Findings from my sections</w:t>
      </w:r>
    </w:p>
    <w:p>
      <w:pPr>
        <w:spacing w:after="110" w:line="270"/>
      </w:pPr>
      <w:r>
        <w:rPr>
          <w:rFonts w:ascii="Calibri" w:cs="Calibri" w:eastAsia="Calibri" w:hAnsi="Calibri"/>
          <w:sz w:val="21"/>
          <w:szCs w:val="21"/>
        </w:rPr>
        <w:t xml:space="preserve">Every figure below is computed from the cleaned dataset and reproduces in the team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069"/>
        <w:gridCol w:w="3249"/>
      </w:tblGrid>
      <w:tr>
        <w:trPr>
          <w:tblHeader/>
        </w:trPr>
        <w:tc>
          <w:tcPr>
            <w:tcW w:type="dxa" w:w="2708"/>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Item</w:t>
            </w:r>
          </w:p>
        </w:tc>
        <w:tc>
          <w:tcPr>
            <w:tcW w:type="dxa" w:w="3069"/>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Figure</w:t>
            </w:r>
          </w:p>
        </w:tc>
        <w:tc>
          <w:tcPr>
            <w:tcW w:type="dxa" w:w="3249"/>
            <w:tcBorders>
              <w:top w:val="single" w:color="BFCBDA" w:sz="4"/>
              <w:left w:val="single" w:color="BFCBDA" w:sz="4"/>
              <w:bottom w:val="single" w:color="BFCBDA" w:sz="4"/>
              <w:right w:val="single" w:color="BFCBDA" w:sz="4"/>
            </w:tcBorders>
            <w:shd w:fill="DCE6F1" w:color="auto" w:val="clear"/>
            <w:tcMar>
              <w:top w:type="dxa" w:w="60"/>
              <w:left w:type="dxa" w:w="100"/>
              <w:bottom w:type="dxa" w:w="60"/>
              <w:right w:type="dxa" w:w="100"/>
            </w:tcMar>
          </w:tcPr>
          <w:p>
            <w:r>
              <w:rPr>
                <w:rFonts w:ascii="Calibri" w:cs="Calibri" w:eastAsia="Calibri" w:hAnsi="Calibri"/>
                <w:b/>
                <w:bCs/>
                <w:color w:val="1F4E79"/>
                <w:sz w:val="19"/>
                <w:szCs w:val="19"/>
              </w:rPr>
              <w:t xml:space="preserve">Reading</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Historical approval, men vs women</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54.1% vs 50.4%</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 3.7-point raw gap</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Within Gig / Business Owner</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Gap under 1 point</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Most of the gap is mix</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Within Salaried / Self-Employed</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2.3 / 4.3 points</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Not fully explained by job type</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Median monthly income</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₹55K men · ₹45K women</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Income drives FOIR</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Gig / Contract share</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11.6% men · 21.4% women</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Women more often in the least-approved group</w:t>
            </w:r>
          </w:p>
        </w:tc>
      </w:tr>
      <w:tr>
        <w:trPr>
          <w:cantSplit/>
        </w:trPr>
        <w:tc>
          <w:tcPr>
            <w:tcW w:type="dxa" w:w="2708"/>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Auto-declined at 0.90 (NTC to analysts)</w:t>
            </w:r>
          </w:p>
        </w:tc>
        <w:tc>
          <w:tcPr>
            <w:tcW w:type="dxa" w:w="306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14.5% men · 15.1% women</w:t>
            </w:r>
          </w:p>
        </w:tc>
        <w:tc>
          <w:tcPr>
            <w:tcW w:type="dxa" w:w="3249"/>
            <w:tcBorders>
              <w:top w:val="single" w:color="BFCBDA" w:sz="4"/>
              <w:left w:val="single" w:color="BFCBDA" w:sz="4"/>
              <w:bottom w:val="single" w:color="BFCBDA" w:sz="4"/>
              <w:right w:val="single" w:color="BFCBDA" w:sz="4"/>
            </w:tcBorders>
            <w:tcMar>
              <w:top w:type="dxa" w:w="60"/>
              <w:left w:type="dxa" w:w="100"/>
              <w:bottom w:type="dxa" w:w="60"/>
              <w:right w:type="dxa" w:w="100"/>
            </w:tcMar>
          </w:tcPr>
          <w:p>
            <w:r>
              <w:rPr>
                <w:rFonts w:ascii="Calibri" w:cs="Calibri" w:eastAsia="Calibri" w:hAnsi="Calibri"/>
                <w:sz w:val="19"/>
                <w:szCs w:val="19"/>
              </w:rPr>
              <w:t xml:space="preserve">The model does not widen the gap</w:t>
            </w:r>
          </w:p>
        </w:tc>
      </w:tr>
    </w:tbl>
    <w:p>
      <w:pPr>
        <w:keepNext/>
        <w:keepLines/>
        <w:pBdr>
          <w:bottom w:val="single" w:color="9DB6D3" w:sz="6" w:space="3"/>
        </w:pBdr>
        <w:spacing w:after="120" w:before="280"/>
      </w:pPr>
      <w:r>
        <w:rPr>
          <w:rFonts w:ascii="Calibri" w:cs="Calibri" w:eastAsia="Calibri" w:hAnsi="Calibri"/>
          <w:b/>
          <w:bCs/>
          <w:color w:val="1F4E79"/>
          <w:sz w:val="28"/>
          <w:szCs w:val="28"/>
        </w:rPr>
        <w:t xml:space="preserve">4. Business interpretation</w:t>
      </w:r>
    </w:p>
    <w:p>
      <w:pPr>
        <w:spacing w:after="110" w:line="270"/>
      </w:pPr>
      <w:r>
        <w:rPr>
          <w:rFonts w:ascii="Calibri" w:cs="Calibri" w:eastAsia="Calibri" w:hAnsi="Calibri"/>
          <w:sz w:val="21"/>
          <w:szCs w:val="21"/>
        </w:rPr>
        <w:t xml:space="preserve">Leaving gender out of the model is necessary but not sufficient. Income, employment type and FOIR all differ by gender, so a model can reproduce a historical gap without ever seeing the column. The evidence here is reassuring: most of the gap is explained by mix, and the model's auto-decline rates are within a point. The briefing therefore takes a clear position: never use gender as a feature, and report approval and auto-decline rates by gender every month, investigating if the gap grows.</w:t>
      </w:r>
    </w:p>
    <w:p>
      <w:pPr>
        <w:keepNext/>
        <w:keepLines/>
        <w:pBdr>
          <w:bottom w:val="single" w:color="9DB6D3" w:sz="6" w:space="3"/>
        </w:pBdr>
        <w:spacing w:after="120" w:before="280"/>
      </w:pPr>
      <w:r>
        <w:rPr>
          <w:rFonts w:ascii="Calibri" w:cs="Calibri" w:eastAsia="Calibri" w:hAnsi="Calibri"/>
          <w:b/>
          <w:bCs/>
          <w:color w:val="1F4E79"/>
          <w:sz w:val="28"/>
          <w:szCs w:val="28"/>
        </w:rPr>
        <w:t xml:space="preserve">5. What I learned</w:t>
      </w:r>
    </w:p>
    <w:p>
      <w:pPr>
        <w:spacing w:after="110" w:line="270"/>
      </w:pPr>
      <w:r>
        <w:rPr>
          <w:rFonts w:ascii="Calibri" w:cs="Calibri" w:eastAsia="Calibri" w:hAnsi="Calibri"/>
          <w:sz w:val="21"/>
          <w:szCs w:val="21"/>
        </w:rPr>
        <w:t xml:space="preserve">The trap answer, "we did not use gender, so it is fair", is easy to write and proves nothing. Measuring outcomes within groups is what turns fairness from an opinion into a finding. Writing the briefing also taught me that synthesis is a skill of its own: each sentence had to carry a specific number from another member's section and say what the bank should do with it.</w:t>
      </w:r>
    </w:p>
    <w:p>
      <w:pPr>
        <w:spacing w:after="110" w:line="270"/>
      </w:pPr>
      <w:r>
        <w:rPr>
          <w:rFonts w:ascii="Calibri" w:cs="Calibri" w:eastAsia="Calibri" w:hAnsi="Calibri"/>
          <w:b/>
          <w:bCs/>
          <w:sz w:val="21"/>
          <w:szCs w:val="21"/>
        </w:rPr>
        <w:t xml:space="preserve">From my teammates:</w:t>
      </w:r>
      <w:r>
        <w:rPr>
          <w:rFonts w:ascii="Calibri" w:cs="Calibri" w:eastAsia="Calibri" w:hAnsi="Calibri"/>
          <w:sz w:val="21"/>
          <w:szCs w:val="21"/>
        </w:rPr>
        <w:t xml:space="preserve"> From Pradeepthi I learned to state the threshold in hours and customers rather than in probabilities, and from Naishadh Vytla why the decision column is judgement, not repayment, which became the briefing's closing ask.</w:t>
      </w:r>
    </w:p>
    <w:p>
      <w:pPr>
        <w:keepNext/>
        <w:keepLines/>
        <w:pBdr>
          <w:bottom w:val="single" w:color="9DB6D3" w:sz="6" w:space="3"/>
        </w:pBdr>
        <w:spacing w:after="120" w:before="280"/>
      </w:pPr>
      <w:r>
        <w:rPr>
          <w:rFonts w:ascii="Calibri" w:cs="Calibri" w:eastAsia="Calibri" w:hAnsi="Calibri"/>
          <w:b/>
          <w:bCs/>
          <w:color w:val="1F4E79"/>
          <w:sz w:val="28"/>
          <w:szCs w:val="28"/>
        </w:rPr>
        <w:t xml:space="preserve">6. Limitation I would flag</w:t>
      </w:r>
    </w:p>
    <w:p>
      <w:pPr>
        <w:spacing w:after="110" w:line="270"/>
      </w:pPr>
      <w:r>
        <w:rPr>
          <w:rFonts w:ascii="Calibri" w:cs="Calibri" w:eastAsia="Calibri" w:hAnsi="Calibri"/>
          <w:sz w:val="21"/>
          <w:szCs w:val="21"/>
        </w:rPr>
        <w:t xml:space="preserve">Gender is recorded only as </w:t>
      </w:r>
      <w:r>
        <w:rPr>
          <w:rFonts w:ascii="Calibri" w:cs="Calibri" w:eastAsia="Calibri" w:hAnsi="Calibri"/>
          <w:b/>
          <w:bCs/>
          <w:sz w:val="21"/>
          <w:szCs w:val="21"/>
        </w:rPr>
        <w:t xml:space="preserve">Male or Female</w:t>
      </w:r>
      <w:r>
        <w:rPr>
          <w:rFonts w:ascii="Calibri" w:cs="Calibri" w:eastAsia="Calibri" w:hAnsi="Calibri"/>
          <w:sz w:val="21"/>
          <w:szCs w:val="21"/>
        </w:rPr>
        <w:t xml:space="preserve">, and the residual gaps within Self-Employed (4.3 points) and Salaried (2.3 points) are not explained by job type alone. With six months of data we cannot tell whether they reflect income differences inside each group or something in past decisions, so monitoring after launch is a requirement, not an option.</w:t>
      </w:r>
    </w:p>
    <w:sectPr>
      <w:footerReference w:type="default" r:id="rId7"/>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MUC02 · Individual report · Saketh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2026-10-29T13:26:00.514Z</dcterms:created>
  <dcterms:modified xsi:type="dcterms:W3CDTF">2026-10-29T13:26:00.514Z</dcterms:modified>
</cp:coreProperties>
</file>

<file path=docProps/custom.xml><?xml version="1.0" encoding="utf-8"?>
<Properties xmlns="http://schemas.openxmlformats.org/officeDocument/2006/custom-properties" xmlns:vt="http://schemas.openxmlformats.org/officeDocument/2006/docPropsVTypes"/>
</file>