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Insights Report</w:t>
      </w:r>
    </w:p>
    <w:p>
      <w:r>
        <w:rPr>
          <w:b/>
          <w:color w:val="2563EB"/>
          <w:sz w:val="30"/>
        </w:rPr>
        <w:t>Sales Business Intelligence &amp; Analytics Dashboard</w:t>
      </w:r>
    </w:p>
    <w:p>
      <w:r>
        <w:rPr>
          <w:b/>
        </w:rPr>
        <w:t xml:space="preserve">Student: </w:t>
      </w:r>
      <w:r>
        <w:t xml:space="preserve">Naishadh Vytla    </w:t>
      </w:r>
      <w:r>
        <w:rPr>
          <w:b/>
        </w:rPr>
        <w:t xml:space="preserve">ID: </w:t>
      </w:r>
      <w:r>
        <w:t>2300040035</w:t>
      </w:r>
    </w:p>
    <w:p>
      <w:r>
        <w:t>Purpose: Translate the Power BI sales dashboard into clear management-level insights, risks and recommended actions. This report uses the metrics and observations contained in the supplied dashboard materials.</w:t>
      </w:r>
    </w:p>
    <w:p>
      <w:pPr>
        <w:pStyle w:val="Heading1"/>
      </w:pPr>
      <w:r>
        <w:t>1. Executive Summary</w:t>
      </w:r>
    </w:p>
    <w:p>
      <w:r>
        <w:t>The analysis covers sales transactions for 2021–2023, including product, customer, salesperson, location and date information, together with budget data. The reported results show approximately 40M in total sales, about 13M in gross profit and a 32.51% gross margin. The dashboard also reports roughly 11K orders, 33K units sold and an average order value of about 3.64K.</w:t>
      </w:r>
    </w:p>
    <w:p>
      <w:r>
        <w:t>The main management signals are: 2022 was the peak sales year; reported YoY growth is approximately −72.32%; monthly sales are uneven; a relatively small group of products and customers contributes a large share of sales; and the Budget Achievement KPI currently displays 3963.17%, which the supplied material flags for validation before it is used for decisions.</w:t>
      </w:r>
    </w:p>
    <w:p>
      <w:pPr>
        <w:pStyle w:val="Heading1"/>
      </w:pPr>
      <w:r>
        <w:t>2. KPI Snapshot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pPr>
              <w:spacing w:after="40"/>
            </w:pPr>
            <w:r>
              <w:rPr>
                <w:rFonts w:ascii="Aptos" w:hAnsi="Aptos"/>
                <w:b/>
                <w:color w:val="FFFFFF"/>
                <w:sz w:val="18"/>
              </w:rPr>
              <w:t>Metric</w:t>
            </w:r>
          </w:p>
        </w:tc>
        <w:tc>
          <w:tcPr>
            <w:tcW w:type="dxa" w:w="3360"/>
            <w:vAlign w:val="center"/>
            <w:shd w:fill="0F172A"/>
          </w:tcPr>
          <w:p>
            <w:pPr>
              <w:spacing w:after="40"/>
            </w:pPr>
            <w:r>
              <w:rPr>
                <w:rFonts w:ascii="Aptos" w:hAnsi="Aptos"/>
                <w:b/>
                <w:color w:val="FFFFFF"/>
                <w:sz w:val="18"/>
              </w:rPr>
              <w:t>Reported value</w:t>
            </w:r>
          </w:p>
        </w:tc>
        <w:tc>
          <w:tcPr>
            <w:tcW w:type="dxa" w:w="3360"/>
            <w:vAlign w:val="center"/>
            <w:shd w:fill="0F172A"/>
          </w:tcPr>
          <w:p>
            <w:pPr>
              <w:spacing w:after="40"/>
            </w:pPr>
            <w:r>
              <w:rPr>
                <w:rFonts w:ascii="Aptos" w:hAnsi="Aptos"/>
                <w:b/>
                <w:color w:val="FFFFFF"/>
                <w:sz w:val="18"/>
              </w:rPr>
              <w:t>Business reading</w:t>
            </w:r>
          </w:p>
        </w:tc>
      </w:tr>
      <w:tr>
        <w:tc>
          <w:tcPr>
            <w:tcW w:type="dxa" w:w="3360"/>
            <w:vAlign w:val="center"/>
          </w:tcPr>
          <w:p>
            <w:pPr>
              <w:spacing w:after="40"/>
            </w:pPr>
            <w:r>
              <w:rPr>
                <w:rFonts w:ascii="Aptos" w:hAnsi="Aptos"/>
                <w:sz w:val="18"/>
              </w:rPr>
              <w:t>Total Sales</w:t>
            </w:r>
          </w:p>
        </w:tc>
        <w:tc>
          <w:tcPr>
            <w:tcW w:type="dxa" w:w="3360"/>
            <w:vAlign w:val="center"/>
          </w:tcPr>
          <w:p>
            <w:pPr>
              <w:spacing w:after="40"/>
            </w:pPr>
            <w:r>
              <w:rPr>
                <w:rFonts w:ascii="Aptos" w:hAnsi="Aptos"/>
                <w:sz w:val="18"/>
              </w:rPr>
              <w:t>~40M</w:t>
            </w:r>
          </w:p>
        </w:tc>
        <w:tc>
          <w:tcPr>
            <w:tcW w:type="dxa" w:w="3360"/>
            <w:vAlign w:val="center"/>
          </w:tcPr>
          <w:p>
            <w:pPr>
              <w:spacing w:after="40"/>
            </w:pPr>
            <w:r>
              <w:rPr>
                <w:rFonts w:ascii="Aptos" w:hAnsi="Aptos"/>
                <w:sz w:val="18"/>
              </w:rPr>
              <w:t>Overall revenue generated in the analyzed period.</w:t>
            </w:r>
          </w:p>
        </w:tc>
      </w:tr>
      <w:tr>
        <w:tc>
          <w:tcPr>
            <w:tcW w:type="dxa" w:w="3360"/>
            <w:vAlign w:val="center"/>
          </w:tcPr>
          <w:p>
            <w:pPr>
              <w:spacing w:after="40"/>
            </w:pPr>
            <w:r>
              <w:rPr>
                <w:rFonts w:ascii="Aptos" w:hAnsi="Aptos"/>
                <w:sz w:val="18"/>
              </w:rPr>
              <w:t>Gross Profit</w:t>
            </w:r>
          </w:p>
        </w:tc>
        <w:tc>
          <w:tcPr>
            <w:tcW w:type="dxa" w:w="3360"/>
            <w:vAlign w:val="center"/>
          </w:tcPr>
          <w:p>
            <w:pPr>
              <w:spacing w:after="40"/>
            </w:pPr>
            <w:r>
              <w:rPr>
                <w:rFonts w:ascii="Aptos" w:hAnsi="Aptos"/>
                <w:sz w:val="18"/>
              </w:rPr>
              <w:t>~13M</w:t>
            </w:r>
          </w:p>
        </w:tc>
        <w:tc>
          <w:tcPr>
            <w:tcW w:type="dxa" w:w="3360"/>
            <w:vAlign w:val="center"/>
          </w:tcPr>
          <w:p>
            <w:pPr>
              <w:spacing w:after="40"/>
            </w:pPr>
            <w:r>
              <w:rPr>
                <w:rFonts w:ascii="Aptos" w:hAnsi="Aptos"/>
                <w:sz w:val="18"/>
              </w:rPr>
              <w:t>Sales less reported total cost.</w:t>
            </w:r>
          </w:p>
        </w:tc>
      </w:tr>
      <w:tr>
        <w:tc>
          <w:tcPr>
            <w:tcW w:type="dxa" w:w="3360"/>
            <w:vAlign w:val="center"/>
          </w:tcPr>
          <w:p>
            <w:pPr>
              <w:spacing w:after="40"/>
            </w:pPr>
            <w:r>
              <w:rPr>
                <w:rFonts w:ascii="Aptos" w:hAnsi="Aptos"/>
                <w:sz w:val="18"/>
              </w:rPr>
              <w:t>Gross Margin</w:t>
            </w:r>
          </w:p>
        </w:tc>
        <w:tc>
          <w:tcPr>
            <w:tcW w:type="dxa" w:w="3360"/>
            <w:vAlign w:val="center"/>
          </w:tcPr>
          <w:p>
            <w:pPr>
              <w:spacing w:after="40"/>
            </w:pPr>
            <w:r>
              <w:rPr>
                <w:rFonts w:ascii="Aptos" w:hAnsi="Aptos"/>
                <w:sz w:val="18"/>
              </w:rPr>
              <w:t>32.51%</w:t>
            </w:r>
          </w:p>
        </w:tc>
        <w:tc>
          <w:tcPr>
            <w:tcW w:type="dxa" w:w="3360"/>
            <w:vAlign w:val="center"/>
          </w:tcPr>
          <w:p>
            <w:pPr>
              <w:spacing w:after="40"/>
            </w:pPr>
            <w:r>
              <w:rPr>
                <w:rFonts w:ascii="Aptos" w:hAnsi="Aptos"/>
                <w:sz w:val="18"/>
              </w:rPr>
              <w:t>Reported gross profit as a share of sales.</w:t>
            </w:r>
          </w:p>
        </w:tc>
      </w:tr>
      <w:tr>
        <w:tc>
          <w:tcPr>
            <w:tcW w:type="dxa" w:w="3360"/>
            <w:vAlign w:val="center"/>
          </w:tcPr>
          <w:p>
            <w:pPr>
              <w:spacing w:after="40"/>
            </w:pPr>
            <w:r>
              <w:rPr>
                <w:rFonts w:ascii="Aptos" w:hAnsi="Aptos"/>
                <w:sz w:val="18"/>
              </w:rPr>
              <w:t>Orders</w:t>
            </w:r>
          </w:p>
        </w:tc>
        <w:tc>
          <w:tcPr>
            <w:tcW w:type="dxa" w:w="3360"/>
            <w:vAlign w:val="center"/>
          </w:tcPr>
          <w:p>
            <w:pPr>
              <w:spacing w:after="40"/>
            </w:pPr>
            <w:r>
              <w:rPr>
                <w:rFonts w:ascii="Aptos" w:hAnsi="Aptos"/>
                <w:sz w:val="18"/>
              </w:rPr>
              <w:t>~11K</w:t>
            </w:r>
          </w:p>
        </w:tc>
        <w:tc>
          <w:tcPr>
            <w:tcW w:type="dxa" w:w="3360"/>
            <w:vAlign w:val="center"/>
          </w:tcPr>
          <w:p>
            <w:pPr>
              <w:spacing w:after="40"/>
            </w:pPr>
            <w:r>
              <w:rPr>
                <w:rFonts w:ascii="Aptos" w:hAnsi="Aptos"/>
                <w:sz w:val="18"/>
              </w:rPr>
              <w:t>Approximate number of orders.</w:t>
            </w:r>
          </w:p>
        </w:tc>
      </w:tr>
      <w:tr>
        <w:tc>
          <w:tcPr>
            <w:tcW w:type="dxa" w:w="3360"/>
            <w:vAlign w:val="center"/>
          </w:tcPr>
          <w:p>
            <w:pPr>
              <w:spacing w:after="40"/>
            </w:pPr>
            <w:r>
              <w:rPr>
                <w:rFonts w:ascii="Aptos" w:hAnsi="Aptos"/>
                <w:sz w:val="18"/>
              </w:rPr>
              <w:t>Units Sold</w:t>
            </w:r>
          </w:p>
        </w:tc>
        <w:tc>
          <w:tcPr>
            <w:tcW w:type="dxa" w:w="3360"/>
            <w:vAlign w:val="center"/>
          </w:tcPr>
          <w:p>
            <w:pPr>
              <w:spacing w:after="40"/>
            </w:pPr>
            <w:r>
              <w:rPr>
                <w:rFonts w:ascii="Aptos" w:hAnsi="Aptos"/>
                <w:sz w:val="18"/>
              </w:rPr>
              <w:t>~33K</w:t>
            </w:r>
          </w:p>
        </w:tc>
        <w:tc>
          <w:tcPr>
            <w:tcW w:type="dxa" w:w="3360"/>
            <w:vAlign w:val="center"/>
          </w:tcPr>
          <w:p>
            <w:pPr>
              <w:spacing w:after="40"/>
            </w:pPr>
            <w:r>
              <w:rPr>
                <w:rFonts w:ascii="Aptos" w:hAnsi="Aptos"/>
                <w:sz w:val="18"/>
              </w:rPr>
              <w:t>Approximate quantity sold.</w:t>
            </w:r>
          </w:p>
        </w:tc>
      </w:tr>
      <w:tr>
        <w:tc>
          <w:tcPr>
            <w:tcW w:type="dxa" w:w="3360"/>
            <w:vAlign w:val="center"/>
          </w:tcPr>
          <w:p>
            <w:pPr>
              <w:spacing w:after="40"/>
            </w:pPr>
            <w:r>
              <w:rPr>
                <w:rFonts w:ascii="Aptos" w:hAnsi="Aptos"/>
                <w:sz w:val="18"/>
              </w:rPr>
              <w:t>Average Order Value</w:t>
            </w:r>
          </w:p>
        </w:tc>
        <w:tc>
          <w:tcPr>
            <w:tcW w:type="dxa" w:w="3360"/>
            <w:vAlign w:val="center"/>
          </w:tcPr>
          <w:p>
            <w:pPr>
              <w:spacing w:after="40"/>
            </w:pPr>
            <w:r>
              <w:rPr>
                <w:rFonts w:ascii="Aptos" w:hAnsi="Aptos"/>
                <w:sz w:val="18"/>
              </w:rPr>
              <w:t>~3.64K</w:t>
            </w:r>
          </w:p>
        </w:tc>
        <w:tc>
          <w:tcPr>
            <w:tcW w:type="dxa" w:w="3360"/>
            <w:vAlign w:val="center"/>
          </w:tcPr>
          <w:p>
            <w:pPr>
              <w:spacing w:after="40"/>
            </w:pPr>
            <w:r>
              <w:rPr>
                <w:rFonts w:ascii="Aptos" w:hAnsi="Aptos"/>
                <w:sz w:val="18"/>
              </w:rPr>
              <w:t>Approximate revenue per order.</w:t>
            </w:r>
          </w:p>
        </w:tc>
      </w:tr>
      <w:tr>
        <w:tc>
          <w:tcPr>
            <w:tcW w:type="dxa" w:w="3360"/>
            <w:vAlign w:val="center"/>
          </w:tcPr>
          <w:p>
            <w:pPr>
              <w:spacing w:after="40"/>
            </w:pPr>
            <w:r>
              <w:rPr>
                <w:rFonts w:ascii="Aptos" w:hAnsi="Aptos"/>
                <w:sz w:val="18"/>
              </w:rPr>
              <w:t>YoY Growth</w:t>
            </w:r>
          </w:p>
        </w:tc>
        <w:tc>
          <w:tcPr>
            <w:tcW w:type="dxa" w:w="3360"/>
            <w:vAlign w:val="center"/>
          </w:tcPr>
          <w:p>
            <w:pPr>
              <w:spacing w:after="40"/>
            </w:pPr>
            <w:r>
              <w:rPr>
                <w:rFonts w:ascii="Aptos" w:hAnsi="Aptos"/>
                <w:sz w:val="18"/>
              </w:rPr>
              <w:t>~−72.32%</w:t>
            </w:r>
          </w:p>
        </w:tc>
        <w:tc>
          <w:tcPr>
            <w:tcW w:type="dxa" w:w="3360"/>
            <w:vAlign w:val="center"/>
          </w:tcPr>
          <w:p>
            <w:pPr>
              <w:spacing w:after="40"/>
            </w:pPr>
            <w:r>
              <w:rPr>
                <w:rFonts w:ascii="Aptos" w:hAnsi="Aptos"/>
                <w:sz w:val="18"/>
              </w:rPr>
              <w:t>Large reported decline requiring investigation.</w:t>
            </w:r>
          </w:p>
        </w:tc>
      </w:tr>
      <w:tr>
        <w:tc>
          <w:tcPr>
            <w:tcW w:type="dxa" w:w="3360"/>
            <w:vAlign w:val="center"/>
          </w:tcPr>
          <w:p>
            <w:pPr>
              <w:spacing w:after="40"/>
            </w:pPr>
            <w:r>
              <w:rPr>
                <w:rFonts w:ascii="Aptos" w:hAnsi="Aptos"/>
                <w:sz w:val="18"/>
              </w:rPr>
              <w:t>Budget Achievement</w:t>
            </w:r>
          </w:p>
        </w:tc>
        <w:tc>
          <w:tcPr>
            <w:tcW w:type="dxa" w:w="3360"/>
            <w:vAlign w:val="center"/>
          </w:tcPr>
          <w:p>
            <w:pPr>
              <w:spacing w:after="40"/>
            </w:pPr>
            <w:r>
              <w:rPr>
                <w:rFonts w:ascii="Aptos" w:hAnsi="Aptos"/>
                <w:sz w:val="18"/>
              </w:rPr>
              <w:t>3963.17%</w:t>
            </w:r>
          </w:p>
        </w:tc>
        <w:tc>
          <w:tcPr>
            <w:tcW w:type="dxa" w:w="3360"/>
            <w:vAlign w:val="center"/>
          </w:tcPr>
          <w:p>
            <w:pPr>
              <w:spacing w:after="40"/>
            </w:pPr>
            <w:r>
              <w:rPr>
                <w:rFonts w:ascii="Aptos" w:hAnsi="Aptos"/>
                <w:sz w:val="18"/>
              </w:rPr>
              <w:t>Validation required before decision use.</w:t>
            </w:r>
          </w:p>
        </w:tc>
      </w:tr>
    </w:tbl>
    <w:p>
      <w:pPr>
        <w:pStyle w:val="Heading1"/>
      </w:pPr>
      <w:r>
        <w:t>3. Sales Trend Insights</w:t>
      </w:r>
    </w:p>
    <w:p>
      <w:pPr>
        <w:pStyle w:val="ListBullet"/>
      </w:pPr>
      <w:r>
        <w:t>2022 is identified as the peak sales year in the dashboard.</w:t>
      </w:r>
    </w:p>
    <w:p>
      <w:pPr>
        <w:pStyle w:val="ListBullet"/>
      </w:pPr>
      <w:r>
        <w:t>The reported YoY growth of approximately −72.32% indicates a major decline relative to the comparison period.</w:t>
      </w:r>
    </w:p>
    <w:p>
      <w:pPr>
        <w:pStyle w:val="ListBullet"/>
      </w:pPr>
      <w:r>
        <w:t>Monthly sales show noticeable ups and downs, suggesting inconsistent performance across the period.</w:t>
      </w:r>
    </w:p>
    <w:p>
      <w:pPr>
        <w:pStyle w:val="ListBullet"/>
      </w:pPr>
      <w:r>
        <w:t>Daily and monthly drill-downs can be used to locate unusual days and the periods where the decline is concentrated.</w:t>
      </w:r>
    </w:p>
    <w:p>
      <w:pPr>
        <w:pStyle w:val="ListBullet"/>
      </w:pPr>
      <w:r>
        <w:t>The source material recommends using seasonal patterns to align promotions, inventory and sales activity.</w:t>
      </w:r>
    </w:p>
    <w:p>
      <w:pPr>
        <w:pStyle w:val="Heading1"/>
      </w:pPr>
      <w:r>
        <w:t>4. Product &amp; Customer Insights</w:t>
      </w:r>
    </w:p>
    <w:p>
      <w:r>
        <w:t>The product dashboard shows a distribution in sales and gross profit across products. The supplied interpretation is that a limited number of products drive a large share of sales. This creates a dependency: performance can be affected quickly if leading products lose demand or availability.</w:t>
      </w:r>
    </w:p>
    <w:p>
      <w:r>
        <w:t>Customer analysis similarly indicates concentration among a smaller group of customers. The practical implication is that retention of high-value customers should be treated as an important sales-management activity, while customer concentration should be tracked as a business risk.</w:t>
      </w:r>
    </w:p>
    <w:p>
      <w:pPr>
        <w:pStyle w:val="Heading1"/>
      </w:pPr>
      <w:r>
        <w:t>5. Geographic &amp; Salesperson Insights</w:t>
      </w:r>
    </w:p>
    <w:p>
      <w:r>
        <w:t>The dashboard provides sales by state/location and salesperson performance views. These pages are intended to identify strong and weak regions, compare salesperson performance, and locate areas where targeted improvement may be appropriate. The supplied materials do not provide a complete numerical ranking of these segments, so this report does not infer additional rankings beyond the documented dashboard purpose.</w:t>
      </w:r>
    </w:p>
    <w:p>
      <w:pPr>
        <w:pStyle w:val="Heading1"/>
      </w:pPr>
      <w:r>
        <w:t>6. Budget Data Validation Issue</w:t>
      </w:r>
    </w:p>
    <w:p>
      <w:r>
        <w:rPr>
          <w:b/>
          <w:color w:val="DC2626"/>
        </w:rPr>
        <w:t xml:space="preserve">Important control point: </w:t>
      </w:r>
      <w:r>
        <w:t>The current report displays Budget Achievement at 3963.17%. The supplied submission explicitly flags this as requiring validation. The metric should not be treated as a reliable performance indicator until the budget table, relationships and DAX calculation have been checked.</w:t>
      </w:r>
    </w:p>
    <w:p>
      <w:pPr>
        <w:pStyle w:val="ListNumber"/>
      </w:pPr>
      <w:r>
        <w:t>Review the budget table and monthly allocation values.</w:t>
      </w:r>
    </w:p>
    <w:p>
      <w:pPr>
        <w:pStyle w:val="ListNumber"/>
      </w:pPr>
      <w:r>
        <w:t>Verify relationships and filter flow between the budget data, date dimension and other model tables.</w:t>
      </w:r>
    </w:p>
    <w:p>
      <w:pPr>
        <w:pStyle w:val="ListNumber"/>
      </w:pPr>
      <w:r>
        <w:t>Reconcile the Budget measure and Budget Achievement calculation.</w:t>
      </w:r>
    </w:p>
    <w:p>
      <w:pPr>
        <w:pStyle w:val="ListNumber"/>
      </w:pPr>
      <w:r>
        <w:t>Re-test monthly, yearly and total budget results after correction.</w:t>
      </w:r>
    </w:p>
    <w:p>
      <w:pPr>
        <w:pStyle w:val="Heading1"/>
      </w:pPr>
      <w:r>
        <w:t>7. Business Problems Identified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172A"/>
          </w:tcPr>
          <w:p>
            <w:pPr>
              <w:spacing w:after="40"/>
            </w:pPr>
            <w:r>
              <w:rPr>
                <w:rFonts w:ascii="Aptos" w:hAnsi="Aptos"/>
                <w:b/>
                <w:color w:val="FFFFFF"/>
                <w:sz w:val="18"/>
              </w:rPr>
              <w:t>Problem</w:t>
            </w:r>
          </w:p>
        </w:tc>
        <w:tc>
          <w:tcPr>
            <w:tcW w:type="dxa" w:w="5040"/>
            <w:vAlign w:val="center"/>
            <w:shd w:fill="0F172A"/>
          </w:tcPr>
          <w:p>
            <w:pPr>
              <w:spacing w:after="40"/>
            </w:pPr>
            <w:r>
              <w:rPr>
                <w:rFonts w:ascii="Aptos" w:hAnsi="Aptos"/>
                <w:b/>
                <w:color w:val="FFFFFF"/>
                <w:sz w:val="18"/>
              </w:rPr>
              <w:t>What the dashboard indicates</w:t>
            </w:r>
          </w:p>
        </w:tc>
      </w:tr>
      <w:tr>
        <w:tc>
          <w:tcPr>
            <w:tcW w:type="dxa" w:w="5040"/>
            <w:vAlign w:val="center"/>
          </w:tcPr>
          <w:p>
            <w:pPr>
              <w:spacing w:after="40"/>
            </w:pPr>
            <w:r>
              <w:rPr>
                <w:rFonts w:ascii="Aptos" w:hAnsi="Aptos"/>
                <w:sz w:val="18"/>
              </w:rPr>
              <w:t>Sales decline</w:t>
            </w:r>
          </w:p>
        </w:tc>
        <w:tc>
          <w:tcPr>
            <w:tcW w:type="dxa" w:w="5040"/>
            <w:vAlign w:val="center"/>
          </w:tcPr>
          <w:p>
            <w:pPr>
              <w:spacing w:after="40"/>
            </w:pPr>
            <w:r>
              <w:rPr>
                <w:rFonts w:ascii="Aptos" w:hAnsi="Aptos"/>
                <w:sz w:val="18"/>
              </w:rPr>
              <w:t>Reported YoY change is approximately −72.32%; the underlying cause is not established in the supplied materials.</w:t>
            </w:r>
          </w:p>
        </w:tc>
      </w:tr>
      <w:tr>
        <w:tc>
          <w:tcPr>
            <w:tcW w:type="dxa" w:w="5040"/>
            <w:vAlign w:val="center"/>
          </w:tcPr>
          <w:p>
            <w:pPr>
              <w:spacing w:after="40"/>
            </w:pPr>
            <w:r>
              <w:rPr>
                <w:rFonts w:ascii="Aptos" w:hAnsi="Aptos"/>
                <w:sz w:val="18"/>
              </w:rPr>
              <w:t>Budget calculation / validation</w:t>
            </w:r>
          </w:p>
        </w:tc>
        <w:tc>
          <w:tcPr>
            <w:tcW w:type="dxa" w:w="5040"/>
            <w:vAlign w:val="center"/>
          </w:tcPr>
          <w:p>
            <w:pPr>
              <w:spacing w:after="40"/>
            </w:pPr>
            <w:r>
              <w:rPr>
                <w:rFonts w:ascii="Aptos" w:hAnsi="Aptos"/>
                <w:sz w:val="18"/>
              </w:rPr>
              <w:t>Budget Achievement of 3963.17% requires investigation before it can support decisions.</w:t>
            </w:r>
          </w:p>
        </w:tc>
      </w:tr>
      <w:tr>
        <w:tc>
          <w:tcPr>
            <w:tcW w:type="dxa" w:w="5040"/>
            <w:vAlign w:val="center"/>
          </w:tcPr>
          <w:p>
            <w:pPr>
              <w:spacing w:after="40"/>
            </w:pPr>
            <w:r>
              <w:rPr>
                <w:rFonts w:ascii="Aptos" w:hAnsi="Aptos"/>
                <w:sz w:val="18"/>
              </w:rPr>
              <w:t>Product concentration</w:t>
            </w:r>
          </w:p>
        </w:tc>
        <w:tc>
          <w:tcPr>
            <w:tcW w:type="dxa" w:w="5040"/>
            <w:vAlign w:val="center"/>
          </w:tcPr>
          <w:p>
            <w:pPr>
              <w:spacing w:after="40"/>
            </w:pPr>
            <w:r>
              <w:rPr>
                <w:rFonts w:ascii="Aptos" w:hAnsi="Aptos"/>
                <w:sz w:val="18"/>
              </w:rPr>
              <w:t>A small group of products contributes a large share of sales.</w:t>
            </w:r>
          </w:p>
        </w:tc>
      </w:tr>
      <w:tr>
        <w:tc>
          <w:tcPr>
            <w:tcW w:type="dxa" w:w="5040"/>
            <w:vAlign w:val="center"/>
          </w:tcPr>
          <w:p>
            <w:pPr>
              <w:spacing w:after="40"/>
            </w:pPr>
            <w:r>
              <w:rPr>
                <w:rFonts w:ascii="Aptos" w:hAnsi="Aptos"/>
                <w:sz w:val="18"/>
              </w:rPr>
              <w:t>Customer concentration</w:t>
            </w:r>
          </w:p>
        </w:tc>
        <w:tc>
          <w:tcPr>
            <w:tcW w:type="dxa" w:w="5040"/>
            <w:vAlign w:val="center"/>
          </w:tcPr>
          <w:p>
            <w:pPr>
              <w:spacing w:after="40"/>
            </w:pPr>
            <w:r>
              <w:rPr>
                <w:rFonts w:ascii="Aptos" w:hAnsi="Aptos"/>
                <w:sz w:val="18"/>
              </w:rPr>
              <w:t>A small group of customers contributes a large share of sales.</w:t>
            </w:r>
          </w:p>
        </w:tc>
      </w:tr>
      <w:tr>
        <w:tc>
          <w:tcPr>
            <w:tcW w:type="dxa" w:w="5040"/>
            <w:vAlign w:val="center"/>
          </w:tcPr>
          <w:p>
            <w:pPr>
              <w:spacing w:after="40"/>
            </w:pPr>
            <w:r>
              <w:rPr>
                <w:rFonts w:ascii="Aptos" w:hAnsi="Aptos"/>
                <w:sz w:val="18"/>
              </w:rPr>
              <w:t>Uneven sales performance</w:t>
            </w:r>
          </w:p>
        </w:tc>
        <w:tc>
          <w:tcPr>
            <w:tcW w:type="dxa" w:w="5040"/>
            <w:vAlign w:val="center"/>
          </w:tcPr>
          <w:p>
            <w:pPr>
              <w:spacing w:after="40"/>
            </w:pPr>
            <w:r>
              <w:rPr>
                <w:rFonts w:ascii="Aptos" w:hAnsi="Aptos"/>
                <w:sz w:val="18"/>
              </w:rPr>
              <w:t>Monthly sales fluctuate, making planning more difficult.</w:t>
            </w:r>
          </w:p>
        </w:tc>
      </w:tr>
    </w:tbl>
    <w:p>
      <w:pPr>
        <w:pStyle w:val="Heading1"/>
      </w:pPr>
      <w:r>
        <w:t>8. Recommended Actions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F172A"/>
          </w:tcPr>
          <w:p>
            <w:pPr>
              <w:spacing w:after="40"/>
            </w:pPr>
            <w:r>
              <w:rPr>
                <w:rFonts w:ascii="Aptos" w:hAnsi="Aptos"/>
                <w:b/>
                <w:color w:val="FFFFFF"/>
                <w:sz w:val="18"/>
              </w:rPr>
              <w:t>Priority</w:t>
            </w:r>
          </w:p>
        </w:tc>
        <w:tc>
          <w:tcPr>
            <w:tcW w:type="dxa" w:w="3360"/>
            <w:vAlign w:val="center"/>
            <w:shd w:fill="0F172A"/>
          </w:tcPr>
          <w:p>
            <w:pPr>
              <w:spacing w:after="40"/>
            </w:pPr>
            <w:r>
              <w:rPr>
                <w:rFonts w:ascii="Aptos" w:hAnsi="Aptos"/>
                <w:b/>
                <w:color w:val="FFFFFF"/>
                <w:sz w:val="18"/>
              </w:rPr>
              <w:t>Action</w:t>
            </w:r>
          </w:p>
        </w:tc>
        <w:tc>
          <w:tcPr>
            <w:tcW w:type="dxa" w:w="3360"/>
            <w:vAlign w:val="center"/>
            <w:shd w:fill="0F172A"/>
          </w:tcPr>
          <w:p>
            <w:pPr>
              <w:spacing w:after="40"/>
            </w:pPr>
            <w:r>
              <w:rPr>
                <w:rFonts w:ascii="Aptos" w:hAnsi="Aptos"/>
                <w:b/>
                <w:color w:val="FFFFFF"/>
                <w:sz w:val="18"/>
              </w:rPr>
              <w:t>Recommended execution</w:t>
            </w:r>
          </w:p>
        </w:tc>
      </w:tr>
      <w:tr>
        <w:tc>
          <w:tcPr>
            <w:tcW w:type="dxa" w:w="3360"/>
            <w:vAlign w:val="center"/>
          </w:tcPr>
          <w:p>
            <w:pPr>
              <w:spacing w:after="40"/>
            </w:pPr>
            <w:r>
              <w:rPr>
                <w:rFonts w:ascii="Aptos" w:hAnsi="Aptos"/>
                <w:sz w:val="18"/>
              </w:rPr>
              <w:t>1</w:t>
            </w:r>
          </w:p>
        </w:tc>
        <w:tc>
          <w:tcPr>
            <w:tcW w:type="dxa" w:w="3360"/>
            <w:vAlign w:val="center"/>
          </w:tcPr>
          <w:p>
            <w:pPr>
              <w:spacing w:after="40"/>
            </w:pPr>
            <w:r>
              <w:rPr>
                <w:rFonts w:ascii="Aptos" w:hAnsi="Aptos"/>
                <w:sz w:val="18"/>
              </w:rPr>
              <w:t>1</w:t>
            </w:r>
          </w:p>
        </w:tc>
        <w:tc>
          <w:tcPr>
            <w:tcW w:type="dxa" w:w="3360"/>
            <w:vAlign w:val="center"/>
          </w:tcPr>
          <w:p>
            <w:pPr>
              <w:spacing w:after="40"/>
            </w:pPr>
            <w:r>
              <w:rPr>
                <w:rFonts w:ascii="Aptos" w:hAnsi="Aptos"/>
                <w:sz w:val="18"/>
              </w:rPr>
              <w:t>Break the sales drop down by year, month, product, customer, salesperson and location.</w:t>
            </w:r>
          </w:p>
        </w:tc>
      </w:tr>
      <w:tr>
        <w:tc>
          <w:tcPr>
            <w:tcW w:type="dxa" w:w="3360"/>
            <w:vAlign w:val="center"/>
          </w:tcPr>
          <w:p>
            <w:pPr>
              <w:spacing w:after="40"/>
            </w:pPr>
            <w:r>
              <w:rPr>
                <w:rFonts w:ascii="Aptos" w:hAnsi="Aptos"/>
                <w:sz w:val="18"/>
              </w:rPr>
              <w:t>2</w:t>
            </w:r>
          </w:p>
        </w:tc>
        <w:tc>
          <w:tcPr>
            <w:tcW w:type="dxa" w:w="3360"/>
            <w:vAlign w:val="center"/>
          </w:tcPr>
          <w:p>
            <w:pPr>
              <w:spacing w:after="40"/>
            </w:pPr>
            <w:r>
              <w:rPr>
                <w:rFonts w:ascii="Aptos" w:hAnsi="Aptos"/>
                <w:sz w:val="18"/>
              </w:rPr>
              <w:t>2</w:t>
            </w:r>
          </w:p>
        </w:tc>
        <w:tc>
          <w:tcPr>
            <w:tcW w:type="dxa" w:w="3360"/>
            <w:vAlign w:val="center"/>
          </w:tcPr>
          <w:p>
            <w:pPr>
              <w:spacing w:after="40"/>
            </w:pPr>
            <w:r>
              <w:rPr>
                <w:rFonts w:ascii="Aptos" w:hAnsi="Aptos"/>
                <w:sz w:val="18"/>
              </w:rPr>
              <w:t>Correct and verify budget data, model relationships and DAX before using Budget Achievement.</w:t>
            </w:r>
          </w:p>
        </w:tc>
      </w:tr>
      <w:tr>
        <w:tc>
          <w:tcPr>
            <w:tcW w:type="dxa" w:w="3360"/>
            <w:vAlign w:val="center"/>
          </w:tcPr>
          <w:p>
            <w:pPr>
              <w:spacing w:after="40"/>
            </w:pPr>
            <w:r>
              <w:rPr>
                <w:rFonts w:ascii="Aptos" w:hAnsi="Aptos"/>
                <w:sz w:val="18"/>
              </w:rPr>
              <w:t>3</w:t>
            </w:r>
          </w:p>
        </w:tc>
        <w:tc>
          <w:tcPr>
            <w:tcW w:type="dxa" w:w="3360"/>
            <w:vAlign w:val="center"/>
          </w:tcPr>
          <w:p>
            <w:pPr>
              <w:spacing w:after="40"/>
            </w:pPr>
            <w:r>
              <w:rPr>
                <w:rFonts w:ascii="Aptos" w:hAnsi="Aptos"/>
                <w:sz w:val="18"/>
              </w:rPr>
              <w:t>3</w:t>
            </w:r>
          </w:p>
        </w:tc>
        <w:tc>
          <w:tcPr>
            <w:tcW w:type="dxa" w:w="3360"/>
            <w:vAlign w:val="center"/>
          </w:tcPr>
          <w:p>
            <w:pPr>
              <w:spacing w:after="40"/>
            </w:pPr>
            <w:r>
              <w:rPr>
                <w:rFonts w:ascii="Aptos" w:hAnsi="Aptos"/>
                <w:sz w:val="18"/>
              </w:rPr>
              <w:t>Maintain availability and focused marketing for top sellers; review weaker products.</w:t>
            </w:r>
          </w:p>
        </w:tc>
      </w:tr>
      <w:tr>
        <w:tc>
          <w:tcPr>
            <w:tcW w:type="dxa" w:w="3360"/>
            <w:vAlign w:val="center"/>
          </w:tcPr>
          <w:p>
            <w:pPr>
              <w:spacing w:after="40"/>
            </w:pPr>
            <w:r>
              <w:rPr>
                <w:rFonts w:ascii="Aptos" w:hAnsi="Aptos"/>
                <w:sz w:val="18"/>
              </w:rPr>
              <w:t>4</w:t>
            </w:r>
          </w:p>
        </w:tc>
        <w:tc>
          <w:tcPr>
            <w:tcW w:type="dxa" w:w="3360"/>
            <w:vAlign w:val="center"/>
          </w:tcPr>
          <w:p>
            <w:pPr>
              <w:spacing w:after="40"/>
            </w:pPr>
            <w:r>
              <w:rPr>
                <w:rFonts w:ascii="Aptos" w:hAnsi="Aptos"/>
                <w:sz w:val="18"/>
              </w:rPr>
              <w:t>4</w:t>
            </w:r>
          </w:p>
        </w:tc>
        <w:tc>
          <w:tcPr>
            <w:tcW w:type="dxa" w:w="3360"/>
            <w:vAlign w:val="center"/>
          </w:tcPr>
          <w:p>
            <w:pPr>
              <w:spacing w:after="40"/>
            </w:pPr>
            <w:r>
              <w:rPr>
                <w:rFonts w:ascii="Aptos" w:hAnsi="Aptos"/>
                <w:sz w:val="18"/>
              </w:rPr>
              <w:t>Identify high-value customers and use personalized offers and repeat-purchase programs.</w:t>
            </w:r>
          </w:p>
        </w:tc>
      </w:tr>
      <w:tr>
        <w:tc>
          <w:tcPr>
            <w:tcW w:type="dxa" w:w="3360"/>
            <w:vAlign w:val="center"/>
          </w:tcPr>
          <w:p>
            <w:pPr>
              <w:spacing w:after="40"/>
            </w:pPr>
            <w:r>
              <w:rPr>
                <w:rFonts w:ascii="Aptos" w:hAnsi="Aptos"/>
                <w:sz w:val="18"/>
              </w:rPr>
              <w:t>5</w:t>
            </w:r>
          </w:p>
        </w:tc>
        <w:tc>
          <w:tcPr>
            <w:tcW w:type="dxa" w:w="3360"/>
            <w:vAlign w:val="center"/>
          </w:tcPr>
          <w:p>
            <w:pPr>
              <w:spacing w:after="40"/>
            </w:pPr>
            <w:r>
              <w:rPr>
                <w:rFonts w:ascii="Aptos" w:hAnsi="Aptos"/>
                <w:sz w:val="18"/>
              </w:rPr>
              <w:t>5</w:t>
            </w:r>
          </w:p>
        </w:tc>
        <w:tc>
          <w:tcPr>
            <w:tcW w:type="dxa" w:w="3360"/>
            <w:vAlign w:val="center"/>
          </w:tcPr>
          <w:p>
            <w:pPr>
              <w:spacing w:after="40"/>
            </w:pPr>
            <w:r>
              <w:rPr>
                <w:rFonts w:ascii="Aptos" w:hAnsi="Aptos"/>
                <w:sz w:val="18"/>
              </w:rPr>
              <w:t>Use monthly and quarterly patterns to align promotions, inventory and sales activity.</w:t>
            </w:r>
          </w:p>
        </w:tc>
      </w:tr>
    </w:tbl>
    <w:p>
      <w:pPr>
        <w:pStyle w:val="Heading1"/>
      </w:pPr>
      <w:r>
        <w:t>9. Management Takeaway</w:t>
      </w:r>
    </w:p>
    <w:p>
      <w:r>
        <w:t>The dashboard provides a consolidated view of sales, profitability, products, customers, salespeople, locations and budget performance. The most important follow-up areas are the sharp reported sales decline, inconsistent monthly performance, concentration in key products and customers, and the budget KPI validation issue. Resolving these points will make the dashboard more dependable for sales planning, customer management, product decisions and financial review.</w:t>
      </w:r>
    </w:p>
    <w:p>
      <w:pPr>
        <w:pStyle w:val="Heading1"/>
      </w:pPr>
      <w:r>
        <w:t>Source &amp; Scope Note</w:t>
      </w:r>
    </w:p>
    <w:p>
      <w:r>
        <w:t>This document is derived from the supplied Power BI training presentation and business-insights material. Values are presented approximately where the source uses approximate values. No new PBIX file is created or modified. The Budget Achievement figure is retained as a validation warning rather than presented as a trusted business result.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