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B5470A"/>
          <w:sz w:val="20"/>
          <w:szCs w:val="20"/>
        </w:rPr>
        <w:t xml:space="preserve">FraudGuard</w:t>
      </w:r>
    </w:p>
    <w:p>
      <w:pPr>
        <w:pStyle w:val="Title"/>
        <w:spacing w:after="60"/>
      </w:pPr>
      <w:r>
        <w:t xml:space="preserve">Cost Analysis &amp; Risk-Score Rule</w:t>
      </w:r>
    </w:p>
    <w:p>
      <w:pPr>
        <w:pBdr>
          <w:bottom w:val="single" w:color="D3D9E2" w:sz="6" w:space="6"/>
        </w:pBdr>
        <w:spacing w:after="240"/>
      </w:pPr>
      <w:r>
        <w:rPr>
          <w:color w:val="5B677A"/>
          <w:sz w:val="20"/>
          <w:szCs w:val="20"/>
        </w:rPr>
        <w:t xml:space="preserve">From model score to approve / step-up OTP / block, using expected rupee cost · thresholds chosen on validation, frozen, scored once on test · ULB credit card (primary), UPI 2024 (control)</w:t>
      </w:r>
    </w:p>
    <w:p>
      <w:pPr>
        <w:pStyle w:val="Heading1"/>
        <w:keepNext/>
        <w:spacing w:after="120" w:before="280"/>
      </w:pPr>
      <w:r>
        <w:t xml:space="preserve">1. Result</w:t>
      </w:r>
    </w:p>
    <w:p>
      <w:pPr>
        <w:pBdr>
          <w:left w:val="single" w:color="14284B" w:sz="18" w:space="8"/>
        </w:pBdr>
        <w:shd w:fill="EEF2F7" w:color="auto" w:val="clear"/>
        <w:spacing w:after="160" w:before="80" w:line="276"/>
        <w:ind w:left="160" w:right="160"/>
      </w:pPr>
      <w:r>
        <w:t xml:space="preserve">On the unseen test period (56,746 payments, 74 frauds, about 7.7 hours of traffic), the three-band rule stops or challenges </w:t>
      </w:r>
      <w:r>
        <w:rPr>
          <w:b/>
          <w:bCs/>
        </w:rPr>
        <w:t xml:space="preserve">60 of 74 frauds (81.1%)</w:t>
      </w:r>
      <w:r>
        <w:t xml:space="preserve">. It blocks only 6 genuine customers and challenges 119 with an OTP. Expected cost falls from </w:t>
      </w:r>
      <w:r>
        <w:rPr>
          <w:b/>
          <w:bCs/>
        </w:rPr>
        <w:t xml:space="preserve">₹3,70,000</w:t>
      </w:r>
      <w:r>
        <w:t xml:space="preserve"> with no model to </w:t>
      </w:r>
      <w:r>
        <w:rPr>
          <w:b/>
          <w:bCs/>
        </w:rPr>
        <w:t xml:space="preserve">₹82,675</w:t>
      </w:r>
      <w:r>
        <w:t xml:space="preserve"> (95% CI ₹51,837–₹1.15 L), a 78% reduction. The default 0.5 threshold costs ₹92,700.</w:t>
      </w:r>
    </w:p>
    <w:p>
      <w:pPr>
        <w:pStyle w:val="Heading1"/>
        <w:keepNext/>
        <w:spacing w:after="120" w:before="280"/>
      </w:pPr>
      <w:r>
        <w:t xml:space="preserve">2. The cost model</w:t>
      </w:r>
    </w:p>
    <w:p>
      <w:pPr>
        <w:spacing w:after="120" w:line="276"/>
      </w:pPr>
      <w:r>
        <w:t xml:space="preserve">Expected cost = missed fraud × ₹X + genuine blocked × ₹Y + every OTP challenge × ₹Z + fraud that passes OTP × ₹X.</w:t>
      </w:r>
    </w:p>
    <w:tbl>
      <w:tblPr>
        <w:tblW w:type="dxa" w:w="931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1500"/>
        <w:gridCol w:w="5414"/>
      </w:tblGrid>
      <w:tr>
        <w:trPr>
          <w:tblHeader/>
        </w:trPr>
        <w:tc>
          <w:tcPr>
            <w:tcW w:type="dxa" w:w="24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1428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Assumption</w:t>
            </w:r>
          </w:p>
        </w:tc>
        <w:tc>
          <w:tcPr>
            <w:tcW w:type="dxa" w:w="15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1428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  <w:tc>
          <w:tcPr>
            <w:tcW w:type="dxa" w:w="5414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1428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Basis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7"/>
                <w:szCs w:val="17"/>
              </w:rPr>
              <w:t xml:space="preserve">Missed fraud (₹X)</w:t>
            </w:r>
          </w:p>
        </w:tc>
        <w:tc>
          <w:tcPr>
            <w:tcW w:type="dxa" w:w="15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7"/>
                <w:szCs w:val="17"/>
              </w:rPr>
              <w:t xml:space="preserve">₹5,000</w:t>
            </w:r>
          </w:p>
        </w:tc>
        <w:tc>
          <w:tcPr>
            <w:tcW w:type="dxa" w:w="5414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7"/>
                <w:szCs w:val="17"/>
              </w:rPr>
              <w:t xml:space="preserve">Average loss + chargeback handling + investigation; the organisers published no official figure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7"/>
                <w:szCs w:val="17"/>
              </w:rPr>
              <w:t xml:space="preserve">Genuine payment blocked (₹Y)</w:t>
            </w:r>
          </w:p>
        </w:tc>
        <w:tc>
          <w:tcPr>
            <w:tcW w:type="dxa" w:w="15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7"/>
                <w:szCs w:val="17"/>
              </w:rPr>
              <w:t xml:space="preserve">₹300</w:t>
            </w:r>
          </w:p>
        </w:tc>
        <w:tc>
          <w:tcPr>
            <w:tcW w:type="dxa" w:w="5414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7"/>
                <w:szCs w:val="17"/>
              </w:rPr>
              <w:t xml:space="preserve">Lost transaction margin, a support call, churn risk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7"/>
                <w:szCs w:val="17"/>
              </w:rPr>
              <w:t xml:space="preserve">Step-up OTP (₹Z)</w:t>
            </w:r>
          </w:p>
        </w:tc>
        <w:tc>
          <w:tcPr>
            <w:tcW w:type="dxa" w:w="15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7"/>
                <w:szCs w:val="17"/>
              </w:rPr>
              <w:t xml:space="preserve">₹15 per challenge</w:t>
            </w:r>
          </w:p>
        </w:tc>
        <w:tc>
          <w:tcPr>
            <w:tcW w:type="dxa" w:w="5414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7"/>
                <w:szCs w:val="17"/>
              </w:rPr>
              <w:t xml:space="preserve">Mostly genuine drop-off: about 5% of challenged customers abandon × ₹300 ≈ ₹15. The SMS itself costs well under ₹1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7"/>
                <w:szCs w:val="17"/>
              </w:rPr>
              <w:t xml:space="preserve">Fraud stopped by OTP</w:t>
            </w:r>
          </w:p>
        </w:tc>
        <w:tc>
          <w:tcPr>
            <w:tcW w:type="dxa" w:w="15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7"/>
                <w:szCs w:val="17"/>
              </w:rPr>
              <w:t xml:space="preserve">70%</w:t>
            </w:r>
          </w:p>
        </w:tc>
        <w:tc>
          <w:tcPr>
            <w:tcW w:type="dxa" w:w="5414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7"/>
                <w:szCs w:val="17"/>
              </w:rPr>
              <w:t xml:space="preserve">Stolen-credential and account-takeover fraud fails OTP; socially engineered victims type the OTP themselves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7"/>
                <w:szCs w:val="17"/>
              </w:rPr>
              <w:t xml:space="preserve">Cost basis</w:t>
            </w:r>
          </w:p>
        </w:tc>
        <w:tc>
          <w:tcPr>
            <w:tcW w:type="dxa" w:w="15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7"/>
                <w:szCs w:val="17"/>
              </w:rPr>
              <w:t xml:space="preserve">per event</w:t>
            </w:r>
          </w:p>
        </w:tc>
        <w:tc>
          <w:tcPr>
            <w:tcW w:type="dxa" w:w="5414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7"/>
                <w:szCs w:val="17"/>
              </w:rPr>
              <w:t xml:space="preserve">The credit-card Amount column has no stated currency (the source says only "European cardholders"), so it is never converted to rupees</w:t>
            </w:r>
          </w:p>
        </w:tc>
      </w:tr>
    </w:tbl>
    <w:p>
      <w:pPr>
        <w:spacing w:after="120" w:line="276"/>
      </w:pPr>
      <w:r>
        <w:rPr>
          <w:b/>
          <w:bCs/>
        </w:rPr>
        <w:t xml:space="preserve">Official costs.</w:t>
      </w:r>
      <w:r>
        <w:t xml:space="preserve"> The brief refers to organiser-published ₹ figures, but none were provided. Every number here comes from one config cell in the notebook (`CostConfig`) and the </w:t>
      </w:r>
      <w:r>
        <w:rPr>
          <w:b/>
          <w:bCs/>
        </w:rPr>
        <w:t xml:space="preserve">Policy</w:t>
      </w:r>
      <w:r>
        <w:t xml:space="preserve"> page of the web app. Entering official values there re-optimises both thresholds on validation and re-scores test, with no retraining. Sections 4 and 7 show how far the answer moves when the costs change.</w:t>
      </w:r>
    </w:p>
    <w:p>
      <w:pPr>
        <w:pStyle w:val="Heading1"/>
        <w:keepNext/>
        <w:spacing w:after="120" w:before="280"/>
      </w:pPr>
      <w:r>
        <w:t xml:space="preserve">3. Cost-based threshold (two outcomes: approve or block)</w:t>
      </w:r>
    </w:p>
    <w:p>
      <w:pPr>
        <w:keepNext/>
        <w:spacing w:after="60"/>
      </w:pPr>
      <w:r>
        <w:drawing>
          <wp:inline distT="0" distB="0" distL="0" distR="0">
            <wp:extent cx="5848350" cy="2028825"/>
            <wp:effectExtent t="0" r="0" b="0" l="0"/>
            <wp:docPr id="10" name="09_cost_threshold_confusion.png" descr="09_cost_threshold_confusion.png" title="09_cost_threshold_confus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left"/>
      </w:pPr>
      <w:r>
        <w:rPr>
          <w:i/>
          <w:iCs/>
          <w:color w:val="5B677A"/>
          <w:sz w:val="18"/>
          <w:szCs w:val="18"/>
        </w:rPr>
        <w:t xml:space="preserve">Figure 1. Left: expected cost on validation at every threshold (x = recall reached), with the minimum and the 0.5 default marked. Right: test confusion matrix at the chosen threshold, in rupees.</w:t>
      </w:r>
    </w:p>
    <w:tbl>
      <w:tblPr>
        <w:tblW w:type="dxa" w:w="931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900"/>
        <w:gridCol w:w="900"/>
        <w:gridCol w:w="800"/>
        <w:gridCol w:w="900"/>
        <w:gridCol w:w="1000"/>
        <w:gridCol w:w="1100"/>
        <w:gridCol w:w="1714"/>
      </w:tblGrid>
      <w:tr>
        <w:trPr>
          <w:tblHeader/>
        </w:trPr>
        <w:tc>
          <w:tcPr>
            <w:tcW w:type="dxa" w:w="2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1428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Policy (test period)</w:t>
            </w:r>
          </w:p>
        </w:tc>
        <w:tc>
          <w:tcPr>
            <w:tcW w:type="dxa" w:w="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1428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Accuracy</w:t>
            </w:r>
          </w:p>
        </w:tc>
        <w:tc>
          <w:tcPr>
            <w:tcW w:type="dxa" w:w="8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1428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Recall</w:t>
            </w:r>
          </w:p>
        </w:tc>
        <w:tc>
          <w:tcPr>
            <w:tcW w:type="dxa" w:w="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1428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Precision</w:t>
            </w:r>
          </w:p>
        </w:tc>
        <w:tc>
          <w:tcPr>
            <w:tcW w:type="dxa" w:w="10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1428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Fraud missed</w:t>
            </w:r>
          </w:p>
        </w:tc>
        <w:tc>
          <w:tcPr>
            <w:tcW w:type="dxa" w:w="11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1428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Genuine blocked</w:t>
            </w:r>
          </w:p>
        </w:tc>
        <w:tc>
          <w:tcPr>
            <w:tcW w:type="dxa" w:w="1714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1428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Expected cost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7"/>
                <w:szCs w:val="17"/>
              </w:rPr>
              <w:t xml:space="preserve">Do-nothing (approve all)</w:t>
            </w:r>
          </w:p>
        </w:tc>
        <w:tc>
          <w:tcPr>
            <w:tcW w:type="dxa" w:w="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99.87%</w:t>
            </w:r>
          </w:p>
        </w:tc>
        <w:tc>
          <w:tcPr>
            <w:tcW w:type="dxa" w:w="8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0%</w:t>
            </w:r>
          </w:p>
        </w:tc>
        <w:tc>
          <w:tcPr>
            <w:tcW w:type="dxa" w:w="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74</w:t>
            </w:r>
          </w:p>
        </w:tc>
        <w:tc>
          <w:tcPr>
            <w:tcW w:type="dxa" w:w="11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0</w:t>
            </w:r>
          </w:p>
        </w:tc>
        <w:tc>
          <w:tcPr>
            <w:tcW w:type="dxa" w:w="1714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₹3,70,000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7"/>
                <w:szCs w:val="17"/>
              </w:rPr>
              <w:t xml:space="preserve">CatBoost | class weights @ default 0.5</w:t>
            </w:r>
          </w:p>
        </w:tc>
        <w:tc>
          <w:tcPr>
            <w:tcW w:type="dxa" w:w="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99.95%</w:t>
            </w:r>
          </w:p>
        </w:tc>
        <w:tc>
          <w:tcPr>
            <w:tcW w:type="dxa" w:w="8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75.7%</w:t>
            </w:r>
          </w:p>
        </w:tc>
        <w:tc>
          <w:tcPr>
            <w:tcW w:type="dxa" w:w="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86.2%</w:t>
            </w:r>
          </w:p>
        </w:tc>
        <w:tc>
          <w:tcPr>
            <w:tcW w:type="dxa" w:w="10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18</w:t>
            </w:r>
          </w:p>
        </w:tc>
        <w:tc>
          <w:tcPr>
            <w:tcW w:type="dxa" w:w="11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9</w:t>
            </w:r>
          </w:p>
        </w:tc>
        <w:tc>
          <w:tcPr>
            <w:tcW w:type="dxa" w:w="1714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₹92,700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4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7"/>
                <w:szCs w:val="17"/>
              </w:rPr>
              <w:t xml:space="preserve">CatBoost | class weights @ cost threshold 0.119</w:t>
            </w:r>
          </w:p>
        </w:tc>
        <w:tc>
          <w:tcPr>
            <w:tcW w:type="dxa" w:w="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4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99.93%</w:t>
            </w:r>
          </w:p>
        </w:tc>
        <w:tc>
          <w:tcPr>
            <w:tcW w:type="dxa" w:w="8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4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78.4%</w:t>
            </w:r>
          </w:p>
        </w:tc>
        <w:tc>
          <w:tcPr>
            <w:tcW w:type="dxa" w:w="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4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72.5%</w:t>
            </w:r>
          </w:p>
        </w:tc>
        <w:tc>
          <w:tcPr>
            <w:tcW w:type="dxa" w:w="10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4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16</w:t>
            </w:r>
          </w:p>
        </w:tc>
        <w:tc>
          <w:tcPr>
            <w:tcW w:type="dxa" w:w="11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4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22</w:t>
            </w:r>
          </w:p>
        </w:tc>
        <w:tc>
          <w:tcPr>
            <w:tcW w:type="dxa" w:w="1714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4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₹86,600</w:t>
            </w:r>
          </w:p>
        </w:tc>
      </w:tr>
    </w:tbl>
    <w:p>
      <w:pPr>
        <w:spacing w:after="200"/>
        <w:jc w:val="left"/>
      </w:pPr>
      <w:r>
        <w:rPr>
          <w:i/>
          <w:iCs/>
          <w:color w:val="5B677A"/>
          <w:sz w:val="18"/>
          <w:szCs w:val="18"/>
        </w:rPr>
        <w:t xml:space="preserve">Bootstrap 95% CIs on test: recall 67.6%–86.5%, cost ₹54,500–₹1,27,245. The cost-optimal threshold is less accurate than 0.5 but ₹6,100 cheaper. Accuracy cannot rank the two.</w:t>
      </w:r>
    </w:p>
    <w:p>
      <w:pPr>
        <w:pStyle w:val="Heading1"/>
        <w:keepNext/>
        <w:spacing w:after="120" w:before="280"/>
      </w:pPr>
      <w:r>
        <w:t xml:space="preserve">4. How the threshold moves with ₹X and ₹Y</w:t>
      </w:r>
    </w:p>
    <w:tbl>
      <w:tblPr>
        <w:tblW w:type="dxa" w:w="931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14"/>
        <w:gridCol w:w="1600"/>
        <w:gridCol w:w="1600"/>
        <w:gridCol w:w="1600"/>
        <w:gridCol w:w="1600"/>
        <w:gridCol w:w="1600"/>
      </w:tblGrid>
      <w:tr>
        <w:trPr>
          <w:tblHeader/>
        </w:trPr>
        <w:tc>
          <w:tcPr>
            <w:tcW w:type="dxa" w:w="1314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1428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₹Y \ ₹X</w:t>
            </w:r>
          </w:p>
        </w:tc>
        <w:tc>
          <w:tcPr>
            <w:tcW w:type="dxa" w:w="16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1428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₹1,000</w:t>
            </w:r>
          </w:p>
        </w:tc>
        <w:tc>
          <w:tcPr>
            <w:tcW w:type="dxa" w:w="16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1428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₹2,500</w:t>
            </w:r>
          </w:p>
        </w:tc>
        <w:tc>
          <w:tcPr>
            <w:tcW w:type="dxa" w:w="16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1428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₹5,000</w:t>
            </w:r>
          </w:p>
        </w:tc>
        <w:tc>
          <w:tcPr>
            <w:tcW w:type="dxa" w:w="16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1428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₹10,000</w:t>
            </w:r>
          </w:p>
        </w:tc>
        <w:tc>
          <w:tcPr>
            <w:tcW w:type="dxa" w:w="16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1428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₹25,000</w:t>
            </w:r>
          </w:p>
        </w:tc>
      </w:tr>
      <w:tr>
        <w:trPr>
          <w:cantSplit/>
        </w:trPr>
        <w:tc>
          <w:tcPr>
            <w:tcW w:type="dxa" w:w="1314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1F2A3C"/>
                <w:sz w:val="17"/>
                <w:szCs w:val="17"/>
              </w:rPr>
              <w:t xml:space="preserve">₹50</w:t>
            </w:r>
          </w:p>
        </w:tc>
        <w:tc>
          <w:tcPr>
            <w:tcW w:type="dxa" w:w="16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A3C"/>
                <w:sz w:val="17"/>
                <w:szCs w:val="17"/>
              </w:rPr>
              <w:t xml:space="preserve">0.118 · 78%</w:t>
            </w:r>
          </w:p>
        </w:tc>
        <w:tc>
          <w:tcPr>
            <w:tcW w:type="dxa" w:w="16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A3C"/>
                <w:sz w:val="17"/>
                <w:szCs w:val="17"/>
              </w:rPr>
              <w:t xml:space="preserve">0.118 · 78%</w:t>
            </w:r>
          </w:p>
        </w:tc>
        <w:tc>
          <w:tcPr>
            <w:tcW w:type="dxa" w:w="16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A3C"/>
                <w:sz w:val="17"/>
                <w:szCs w:val="17"/>
              </w:rPr>
              <w:t xml:space="preserve">0.118 · 78%</w:t>
            </w:r>
          </w:p>
        </w:tc>
        <w:tc>
          <w:tcPr>
            <w:tcW w:type="dxa" w:w="16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A3C"/>
                <w:sz w:val="17"/>
                <w:szCs w:val="17"/>
              </w:rPr>
              <w:t xml:space="preserve">9.5e-3 · 81%</w:t>
            </w:r>
          </w:p>
        </w:tc>
        <w:tc>
          <w:tcPr>
            <w:tcW w:type="dxa" w:w="16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A3C"/>
                <w:sz w:val="17"/>
                <w:szCs w:val="17"/>
              </w:rPr>
              <w:t xml:space="preserve">1.5e-3 · 87%</w:t>
            </w:r>
          </w:p>
        </w:tc>
      </w:tr>
      <w:tr>
        <w:trPr>
          <w:cantSplit/>
        </w:trPr>
        <w:tc>
          <w:tcPr>
            <w:tcW w:type="dxa" w:w="1314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1F2A3C"/>
                <w:sz w:val="17"/>
                <w:szCs w:val="17"/>
              </w:rPr>
              <w:t xml:space="preserve">₹150</w:t>
            </w:r>
          </w:p>
        </w:tc>
        <w:tc>
          <w:tcPr>
            <w:tcW w:type="dxa" w:w="16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A3C"/>
                <w:sz w:val="17"/>
                <w:szCs w:val="17"/>
              </w:rPr>
              <w:t xml:space="preserve">0.771 · 73%</w:t>
            </w:r>
          </w:p>
        </w:tc>
        <w:tc>
          <w:tcPr>
            <w:tcW w:type="dxa" w:w="16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A3C"/>
                <w:sz w:val="17"/>
                <w:szCs w:val="17"/>
              </w:rPr>
              <w:t xml:space="preserve">0.118 · 78%</w:t>
            </w:r>
          </w:p>
        </w:tc>
        <w:tc>
          <w:tcPr>
            <w:tcW w:type="dxa" w:w="16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A3C"/>
                <w:sz w:val="17"/>
                <w:szCs w:val="17"/>
              </w:rPr>
              <w:t xml:space="preserve">0.118 · 78%</w:t>
            </w:r>
          </w:p>
        </w:tc>
        <w:tc>
          <w:tcPr>
            <w:tcW w:type="dxa" w:w="16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A3C"/>
                <w:sz w:val="17"/>
                <w:szCs w:val="17"/>
              </w:rPr>
              <w:t xml:space="preserve">0.118 · 78%</w:t>
            </w:r>
          </w:p>
        </w:tc>
        <w:tc>
          <w:tcPr>
            <w:tcW w:type="dxa" w:w="16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A3C"/>
                <w:sz w:val="17"/>
                <w:szCs w:val="17"/>
              </w:rPr>
              <w:t xml:space="preserve">9.5e-3 · 81%</w:t>
            </w:r>
          </w:p>
        </w:tc>
      </w:tr>
      <w:tr>
        <w:trPr>
          <w:cantSplit/>
        </w:trPr>
        <w:tc>
          <w:tcPr>
            <w:tcW w:type="dxa" w:w="1314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1F2A3C"/>
                <w:sz w:val="17"/>
                <w:szCs w:val="17"/>
              </w:rPr>
              <w:t xml:space="preserve">₹300</w:t>
            </w:r>
          </w:p>
        </w:tc>
        <w:tc>
          <w:tcPr>
            <w:tcW w:type="dxa" w:w="16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A3C"/>
                <w:sz w:val="17"/>
                <w:szCs w:val="17"/>
              </w:rPr>
              <w:t xml:space="preserve">0.771 · 73%</w:t>
            </w:r>
          </w:p>
        </w:tc>
        <w:tc>
          <w:tcPr>
            <w:tcW w:type="dxa" w:w="16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A3C"/>
                <w:sz w:val="17"/>
                <w:szCs w:val="17"/>
              </w:rPr>
              <w:t xml:space="preserve">0.771 · 73%</w:t>
            </w:r>
          </w:p>
        </w:tc>
        <w:tc>
          <w:tcPr>
            <w:tcW w:type="dxa" w:w="16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A3C"/>
                <w:sz w:val="17"/>
                <w:szCs w:val="17"/>
              </w:rPr>
              <w:t xml:space="preserve">0.118 · 78%</w:t>
            </w:r>
          </w:p>
        </w:tc>
        <w:tc>
          <w:tcPr>
            <w:tcW w:type="dxa" w:w="16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A3C"/>
                <w:sz w:val="17"/>
                <w:szCs w:val="17"/>
              </w:rPr>
              <w:t xml:space="preserve">0.118 · 78%</w:t>
            </w:r>
          </w:p>
        </w:tc>
        <w:tc>
          <w:tcPr>
            <w:tcW w:type="dxa" w:w="16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A3C"/>
                <w:sz w:val="17"/>
                <w:szCs w:val="17"/>
              </w:rPr>
              <w:t xml:space="preserve">0.118 · 78%</w:t>
            </w:r>
          </w:p>
        </w:tc>
      </w:tr>
      <w:tr>
        <w:trPr>
          <w:cantSplit/>
        </w:trPr>
        <w:tc>
          <w:tcPr>
            <w:tcW w:type="dxa" w:w="1314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1F2A3C"/>
                <w:sz w:val="17"/>
                <w:szCs w:val="17"/>
              </w:rPr>
              <w:t xml:space="preserve">₹600</w:t>
            </w:r>
          </w:p>
        </w:tc>
        <w:tc>
          <w:tcPr>
            <w:tcW w:type="dxa" w:w="16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A3C"/>
                <w:sz w:val="17"/>
                <w:szCs w:val="17"/>
              </w:rPr>
              <w:t xml:space="preserve">0.771 · 73%</w:t>
            </w:r>
          </w:p>
        </w:tc>
        <w:tc>
          <w:tcPr>
            <w:tcW w:type="dxa" w:w="16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A3C"/>
                <w:sz w:val="17"/>
                <w:szCs w:val="17"/>
              </w:rPr>
              <w:t xml:space="preserve">0.771 · 73%</w:t>
            </w:r>
          </w:p>
        </w:tc>
        <w:tc>
          <w:tcPr>
            <w:tcW w:type="dxa" w:w="16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A3C"/>
                <w:sz w:val="17"/>
                <w:szCs w:val="17"/>
              </w:rPr>
              <w:t xml:space="preserve">0.771 · 73%</w:t>
            </w:r>
          </w:p>
        </w:tc>
        <w:tc>
          <w:tcPr>
            <w:tcW w:type="dxa" w:w="16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A3C"/>
                <w:sz w:val="17"/>
                <w:szCs w:val="17"/>
              </w:rPr>
              <w:t xml:space="preserve">0.118 · 78%</w:t>
            </w:r>
          </w:p>
        </w:tc>
        <w:tc>
          <w:tcPr>
            <w:tcW w:type="dxa" w:w="16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A3C"/>
                <w:sz w:val="17"/>
                <w:szCs w:val="17"/>
              </w:rPr>
              <w:t xml:space="preserve">0.118 · 78%</w:t>
            </w:r>
          </w:p>
        </w:tc>
      </w:tr>
      <w:tr>
        <w:trPr>
          <w:cantSplit/>
        </w:trPr>
        <w:tc>
          <w:tcPr>
            <w:tcW w:type="dxa" w:w="1314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1F2A3C"/>
                <w:sz w:val="17"/>
                <w:szCs w:val="17"/>
              </w:rPr>
              <w:t xml:space="preserve">₹1200</w:t>
            </w:r>
          </w:p>
        </w:tc>
        <w:tc>
          <w:tcPr>
            <w:tcW w:type="dxa" w:w="16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A3C"/>
                <w:sz w:val="17"/>
                <w:szCs w:val="17"/>
              </w:rPr>
              <w:t xml:space="preserve">0.771 · 73%</w:t>
            </w:r>
          </w:p>
        </w:tc>
        <w:tc>
          <w:tcPr>
            <w:tcW w:type="dxa" w:w="16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A3C"/>
                <w:sz w:val="17"/>
                <w:szCs w:val="17"/>
              </w:rPr>
              <w:t xml:space="preserve">0.771 · 73%</w:t>
            </w:r>
          </w:p>
        </w:tc>
        <w:tc>
          <w:tcPr>
            <w:tcW w:type="dxa" w:w="16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A3C"/>
                <w:sz w:val="17"/>
                <w:szCs w:val="17"/>
              </w:rPr>
              <w:t xml:space="preserve">0.771 · 73%</w:t>
            </w:r>
          </w:p>
        </w:tc>
        <w:tc>
          <w:tcPr>
            <w:tcW w:type="dxa" w:w="16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A3C"/>
                <w:sz w:val="17"/>
                <w:szCs w:val="17"/>
              </w:rPr>
              <w:t xml:space="preserve">0.771 · 73%</w:t>
            </w:r>
          </w:p>
        </w:tc>
        <w:tc>
          <w:tcPr>
            <w:tcW w:type="dxa" w:w="16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A3C"/>
                <w:sz w:val="17"/>
                <w:szCs w:val="17"/>
              </w:rPr>
              <w:t xml:space="preserve">0.118 · 78%</w:t>
            </w:r>
          </w:p>
        </w:tc>
      </w:tr>
    </w:tbl>
    <w:p>
      <w:pPr>
        <w:spacing w:after="200"/>
        <w:jc w:val="left"/>
      </w:pPr>
      <w:r>
        <w:rPr>
          <w:i/>
          <w:iCs/>
          <w:color w:val="5B677A"/>
          <w:sz w:val="18"/>
          <w:szCs w:val="18"/>
        </w:rPr>
        <w:t xml:space="preserve">Each cell: cost-optimal threshold chosen on validation · test recall at that threshold. Base case: row ₹300, column ₹5,000.</w:t>
      </w:r>
    </w:p>
    <w:p>
      <w:pPr>
        <w:keepNext/>
        <w:spacing w:after="60"/>
      </w:pPr>
      <w:r>
        <w:drawing>
          <wp:inline distT="0" distB="0" distL="0" distR="0">
            <wp:extent cx="5848350" cy="2009775"/>
            <wp:effectExtent t="0" r="0" b="0" l="0"/>
            <wp:docPr id="11" name="10_cost_sensitivity.png" descr="10_cost_sensitivity.png" title="10_cost_sensitivit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left"/>
      </w:pPr>
      <w:r>
        <w:rPr>
          <w:i/>
          <w:iCs/>
          <w:color w:val="5B677A"/>
          <w:sz w:val="18"/>
          <w:szCs w:val="18"/>
        </w:rPr>
        <w:t xml:space="preserve">Figure 2. Threshold sensitivity. Across 25 scenarios only four distinct thresholds appear, so the decision is stable across the plausible range.</w:t>
      </w:r>
    </w:p>
    <w:p>
      <w:pPr>
        <w:pStyle w:val="Heading1"/>
        <w:keepNext/>
        <w:spacing w:after="120" w:before="280"/>
      </w:pPr>
      <w:r>
        <w:t xml:space="preserve">5. The risk-score rule (three outcomes)</w:t>
      </w:r>
    </w:p>
    <w:p>
      <w:pPr>
        <w:spacing w:after="120" w:line="276"/>
      </w:pPr>
      <w:r>
        <w:t xml:space="preserve">Both thresholds are found by an </w:t>
      </w:r>
      <w:r>
        <w:rPr>
          <w:b/>
          <w:bCs/>
        </w:rPr>
        <w:t xml:space="preserve">exact search over every distinct validation score in the top 5%</w:t>
      </w:r>
      <w:r>
        <w:t xml:space="preserve">, minimising the full three-outcome cost. The same rule runs in the web app. Result: </w:t>
      </w:r>
      <w:r>
        <w:rPr>
          <w:b/>
          <w:bCs/>
        </w:rPr>
        <w:t xml:space="preserve">approve below 9.49e-3; step-up OTP from 9.49e-3 to 0.771; block at 0.771 and above.</w:t>
      </w:r>
      <w:r>
        <w:t xml:space="preserve"> On the calibrated 0–100 risk score (isotonic regression fitted on validation) that is OTP from 1.0 and block from 88.9. As a theory cross-check, Bayes-optimal cut-offs on a calibrated probability are OTP above 0.43% and block above 15.8%: the same order of decisions.</w:t>
      </w:r>
    </w:p>
    <w:tbl>
      <w:tblPr>
        <w:tblW w:type="dxa" w:w="931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0"/>
        <w:gridCol w:w="950"/>
        <w:gridCol w:w="750"/>
        <w:gridCol w:w="650"/>
        <w:gridCol w:w="850"/>
        <w:gridCol w:w="1250"/>
        <w:gridCol w:w="850"/>
        <w:gridCol w:w="900"/>
        <w:gridCol w:w="900"/>
        <w:gridCol w:w="1064"/>
      </w:tblGrid>
      <w:tr>
        <w:trPr>
          <w:tblHeader/>
        </w:trPr>
        <w:tc>
          <w:tcPr>
            <w:tcW w:type="dxa" w:w="11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1428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Band (test)</w:t>
            </w:r>
          </w:p>
        </w:tc>
        <w:tc>
          <w:tcPr>
            <w:tcW w:type="dxa" w:w="9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1428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Payments</w:t>
            </w:r>
          </w:p>
        </w:tc>
        <w:tc>
          <w:tcPr>
            <w:tcW w:type="dxa" w:w="7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1428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Share</w:t>
            </w:r>
          </w:p>
        </w:tc>
        <w:tc>
          <w:tcPr>
            <w:tcW w:type="dxa" w:w="6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1428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Frauds</w:t>
            </w:r>
          </w:p>
        </w:tc>
        <w:tc>
          <w:tcPr>
            <w:tcW w:type="dxa" w:w="8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1428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Share of fraud</w:t>
            </w:r>
          </w:p>
        </w:tc>
        <w:tc>
          <w:tcPr>
            <w:tcW w:type="dxa" w:w="12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1428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Genuine customers</w:t>
            </w:r>
          </w:p>
        </w:tc>
        <w:tc>
          <w:tcPr>
            <w:tcW w:type="dxa" w:w="8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1428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Fraud rate in band</w:t>
            </w:r>
          </w:p>
        </w:tc>
        <w:tc>
          <w:tcPr>
            <w:tcW w:type="dxa" w:w="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1428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₹ from fraud</w:t>
            </w:r>
          </w:p>
        </w:tc>
        <w:tc>
          <w:tcPr>
            <w:tcW w:type="dxa" w:w="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1428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₹ from genuine</w:t>
            </w:r>
          </w:p>
        </w:tc>
        <w:tc>
          <w:tcPr>
            <w:tcW w:type="dxa" w:w="1064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1428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Total ₹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5"/>
                <w:szCs w:val="15"/>
              </w:rPr>
              <w:t xml:space="preserve">APPROVE</w:t>
            </w:r>
          </w:p>
        </w:tc>
        <w:tc>
          <w:tcPr>
            <w:tcW w:type="dxa" w:w="9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56,561</w:t>
            </w:r>
          </w:p>
        </w:tc>
        <w:tc>
          <w:tcPr>
            <w:tcW w:type="dxa" w:w="7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99.67%</w:t>
            </w:r>
          </w:p>
        </w:tc>
        <w:tc>
          <w:tcPr>
            <w:tcW w:type="dxa" w:w="6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14</w:t>
            </w:r>
          </w:p>
        </w:tc>
        <w:tc>
          <w:tcPr>
            <w:tcW w:type="dxa" w:w="8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18.9%</w:t>
            </w:r>
          </w:p>
        </w:tc>
        <w:tc>
          <w:tcPr>
            <w:tcW w:type="dxa" w:w="12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5"/>
                <w:szCs w:val="15"/>
              </w:rPr>
              <w:t xml:space="preserve">0 (56,547 pass)</w:t>
            </w:r>
          </w:p>
        </w:tc>
        <w:tc>
          <w:tcPr>
            <w:tcW w:type="dxa" w:w="8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0.02%</w:t>
            </w:r>
          </w:p>
        </w:tc>
        <w:tc>
          <w:tcPr>
            <w:tcW w:type="dxa" w:w="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₹70,000</w:t>
            </w:r>
          </w:p>
        </w:tc>
        <w:tc>
          <w:tcPr>
            <w:tcW w:type="dxa" w:w="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₹0</w:t>
            </w:r>
          </w:p>
        </w:tc>
        <w:tc>
          <w:tcPr>
            <w:tcW w:type="dxa" w:w="1064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₹70,000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5"/>
                <w:szCs w:val="15"/>
              </w:rPr>
              <w:t xml:space="preserve">STEP-UP OTP</w:t>
            </w:r>
          </w:p>
        </w:tc>
        <w:tc>
          <w:tcPr>
            <w:tcW w:type="dxa" w:w="9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125</w:t>
            </w:r>
          </w:p>
        </w:tc>
        <w:tc>
          <w:tcPr>
            <w:tcW w:type="dxa" w:w="7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0.22%</w:t>
            </w:r>
          </w:p>
        </w:tc>
        <w:tc>
          <w:tcPr>
            <w:tcW w:type="dxa" w:w="6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6</w:t>
            </w:r>
          </w:p>
        </w:tc>
        <w:tc>
          <w:tcPr>
            <w:tcW w:type="dxa" w:w="8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8.1%</w:t>
            </w:r>
          </w:p>
        </w:tc>
        <w:tc>
          <w:tcPr>
            <w:tcW w:type="dxa" w:w="12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5"/>
                <w:szCs w:val="15"/>
              </w:rPr>
              <w:t xml:space="preserve">119 challenged</w:t>
            </w:r>
          </w:p>
        </w:tc>
        <w:tc>
          <w:tcPr>
            <w:tcW w:type="dxa" w:w="8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4.80%</w:t>
            </w:r>
          </w:p>
        </w:tc>
        <w:tc>
          <w:tcPr>
            <w:tcW w:type="dxa" w:w="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₹9,090</w:t>
            </w:r>
          </w:p>
        </w:tc>
        <w:tc>
          <w:tcPr>
            <w:tcW w:type="dxa" w:w="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₹1,785</w:t>
            </w:r>
          </w:p>
        </w:tc>
        <w:tc>
          <w:tcPr>
            <w:tcW w:type="dxa" w:w="1064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₹10,875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5"/>
                <w:szCs w:val="15"/>
              </w:rPr>
              <w:t xml:space="preserve">BLOCK</w:t>
            </w:r>
          </w:p>
        </w:tc>
        <w:tc>
          <w:tcPr>
            <w:tcW w:type="dxa" w:w="9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60</w:t>
            </w:r>
          </w:p>
        </w:tc>
        <w:tc>
          <w:tcPr>
            <w:tcW w:type="dxa" w:w="7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0.11%</w:t>
            </w:r>
          </w:p>
        </w:tc>
        <w:tc>
          <w:tcPr>
            <w:tcW w:type="dxa" w:w="6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54</w:t>
            </w:r>
          </w:p>
        </w:tc>
        <w:tc>
          <w:tcPr>
            <w:tcW w:type="dxa" w:w="8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73.0%</w:t>
            </w:r>
          </w:p>
        </w:tc>
        <w:tc>
          <w:tcPr>
            <w:tcW w:type="dxa" w:w="12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5"/>
                <w:szCs w:val="15"/>
              </w:rPr>
              <w:t xml:space="preserve">6 blocked</w:t>
            </w:r>
          </w:p>
        </w:tc>
        <w:tc>
          <w:tcPr>
            <w:tcW w:type="dxa" w:w="8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90.00%</w:t>
            </w:r>
          </w:p>
        </w:tc>
        <w:tc>
          <w:tcPr>
            <w:tcW w:type="dxa" w:w="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₹0</w:t>
            </w:r>
          </w:p>
        </w:tc>
        <w:tc>
          <w:tcPr>
            <w:tcW w:type="dxa" w:w="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₹1,800</w:t>
            </w:r>
          </w:p>
        </w:tc>
        <w:tc>
          <w:tcPr>
            <w:tcW w:type="dxa" w:w="1064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₹1,800</w:t>
            </w:r>
          </w:p>
        </w:tc>
      </w:tr>
    </w:tbl>
    <w:p>
      <w:pPr>
        <w:spacing w:after="200"/>
        <w:jc w:val="left"/>
      </w:pPr>
      <w:r>
        <w:rPr>
          <w:i/>
          <w:iCs/>
          <w:color w:val="5B677A"/>
          <w:sz w:val="18"/>
          <w:szCs w:val="18"/>
        </w:rPr>
        <w:t xml:space="preserve">Test period, thresholds frozen from validation. OTP band: each challenge ₹15; fraud passing OTP (30%) costs ₹5,000.</w:t>
      </w:r>
    </w:p>
    <w:tbl>
      <w:tblPr>
        <w:tblW w:type="dxa" w:w="931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0"/>
        <w:gridCol w:w="950"/>
        <w:gridCol w:w="750"/>
        <w:gridCol w:w="650"/>
        <w:gridCol w:w="850"/>
        <w:gridCol w:w="1250"/>
        <w:gridCol w:w="850"/>
        <w:gridCol w:w="900"/>
        <w:gridCol w:w="900"/>
        <w:gridCol w:w="1064"/>
      </w:tblGrid>
      <w:tr>
        <w:trPr>
          <w:tblHeader/>
        </w:trPr>
        <w:tc>
          <w:tcPr>
            <w:tcW w:type="dxa" w:w="11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1428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Band (validation)</w:t>
            </w:r>
          </w:p>
        </w:tc>
        <w:tc>
          <w:tcPr>
            <w:tcW w:type="dxa" w:w="9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1428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Payments</w:t>
            </w:r>
          </w:p>
        </w:tc>
        <w:tc>
          <w:tcPr>
            <w:tcW w:type="dxa" w:w="7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1428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Share</w:t>
            </w:r>
          </w:p>
        </w:tc>
        <w:tc>
          <w:tcPr>
            <w:tcW w:type="dxa" w:w="6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1428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Frauds</w:t>
            </w:r>
          </w:p>
        </w:tc>
        <w:tc>
          <w:tcPr>
            <w:tcW w:type="dxa" w:w="8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1428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Share of fraud</w:t>
            </w:r>
          </w:p>
        </w:tc>
        <w:tc>
          <w:tcPr>
            <w:tcW w:type="dxa" w:w="12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1428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Genuine customers</w:t>
            </w:r>
          </w:p>
        </w:tc>
        <w:tc>
          <w:tcPr>
            <w:tcW w:type="dxa" w:w="8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1428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Fraud rate in band</w:t>
            </w:r>
          </w:p>
        </w:tc>
        <w:tc>
          <w:tcPr>
            <w:tcW w:type="dxa" w:w="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1428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₹ from fraud</w:t>
            </w:r>
          </w:p>
        </w:tc>
        <w:tc>
          <w:tcPr>
            <w:tcW w:type="dxa" w:w="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1428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₹ from genuine</w:t>
            </w:r>
          </w:p>
        </w:tc>
        <w:tc>
          <w:tcPr>
            <w:tcW w:type="dxa" w:w="1064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1428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Total ₹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5"/>
                <w:szCs w:val="15"/>
              </w:rPr>
              <w:t xml:space="preserve">APPROVE</w:t>
            </w:r>
          </w:p>
        </w:tc>
        <w:tc>
          <w:tcPr>
            <w:tcW w:type="dxa" w:w="9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56,578</w:t>
            </w:r>
          </w:p>
        </w:tc>
        <w:tc>
          <w:tcPr>
            <w:tcW w:type="dxa" w:w="7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99.71%</w:t>
            </w:r>
          </w:p>
        </w:tc>
        <w:tc>
          <w:tcPr>
            <w:tcW w:type="dxa" w:w="6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11</w:t>
            </w:r>
          </w:p>
        </w:tc>
        <w:tc>
          <w:tcPr>
            <w:tcW w:type="dxa" w:w="8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19.3%</w:t>
            </w:r>
          </w:p>
        </w:tc>
        <w:tc>
          <w:tcPr>
            <w:tcW w:type="dxa" w:w="12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5"/>
                <w:szCs w:val="15"/>
              </w:rPr>
              <w:t xml:space="preserve">0 (56,567 pass)</w:t>
            </w:r>
          </w:p>
        </w:tc>
        <w:tc>
          <w:tcPr>
            <w:tcW w:type="dxa" w:w="8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0.02%</w:t>
            </w:r>
          </w:p>
        </w:tc>
        <w:tc>
          <w:tcPr>
            <w:tcW w:type="dxa" w:w="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₹55,000</w:t>
            </w:r>
          </w:p>
        </w:tc>
        <w:tc>
          <w:tcPr>
            <w:tcW w:type="dxa" w:w="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₹0</w:t>
            </w:r>
          </w:p>
        </w:tc>
        <w:tc>
          <w:tcPr>
            <w:tcW w:type="dxa" w:w="1064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₹55,000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5"/>
                <w:szCs w:val="15"/>
              </w:rPr>
              <w:t xml:space="preserve">STEP-UP OTP</w:t>
            </w:r>
          </w:p>
        </w:tc>
        <w:tc>
          <w:tcPr>
            <w:tcW w:type="dxa" w:w="9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123</w:t>
            </w:r>
          </w:p>
        </w:tc>
        <w:tc>
          <w:tcPr>
            <w:tcW w:type="dxa" w:w="7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0.22%</w:t>
            </w:r>
          </w:p>
        </w:tc>
        <w:tc>
          <w:tcPr>
            <w:tcW w:type="dxa" w:w="6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3</w:t>
            </w:r>
          </w:p>
        </w:tc>
        <w:tc>
          <w:tcPr>
            <w:tcW w:type="dxa" w:w="8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5.3%</w:t>
            </w:r>
          </w:p>
        </w:tc>
        <w:tc>
          <w:tcPr>
            <w:tcW w:type="dxa" w:w="12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5"/>
                <w:szCs w:val="15"/>
              </w:rPr>
              <w:t xml:space="preserve">120 challenged</w:t>
            </w:r>
          </w:p>
        </w:tc>
        <w:tc>
          <w:tcPr>
            <w:tcW w:type="dxa" w:w="8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2.44%</w:t>
            </w:r>
          </w:p>
        </w:tc>
        <w:tc>
          <w:tcPr>
            <w:tcW w:type="dxa" w:w="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₹4,545</w:t>
            </w:r>
          </w:p>
        </w:tc>
        <w:tc>
          <w:tcPr>
            <w:tcW w:type="dxa" w:w="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₹1,800</w:t>
            </w:r>
          </w:p>
        </w:tc>
        <w:tc>
          <w:tcPr>
            <w:tcW w:type="dxa" w:w="1064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₹6,345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5"/>
                <w:szCs w:val="15"/>
              </w:rPr>
              <w:t xml:space="preserve">BLOCK</w:t>
            </w:r>
          </w:p>
        </w:tc>
        <w:tc>
          <w:tcPr>
            <w:tcW w:type="dxa" w:w="9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44</w:t>
            </w:r>
          </w:p>
        </w:tc>
        <w:tc>
          <w:tcPr>
            <w:tcW w:type="dxa" w:w="7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0.08%</w:t>
            </w:r>
          </w:p>
        </w:tc>
        <w:tc>
          <w:tcPr>
            <w:tcW w:type="dxa" w:w="6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43</w:t>
            </w:r>
          </w:p>
        </w:tc>
        <w:tc>
          <w:tcPr>
            <w:tcW w:type="dxa" w:w="8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75.4%</w:t>
            </w:r>
          </w:p>
        </w:tc>
        <w:tc>
          <w:tcPr>
            <w:tcW w:type="dxa" w:w="12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5"/>
                <w:szCs w:val="15"/>
              </w:rPr>
              <w:t xml:space="preserve">1 blocked</w:t>
            </w:r>
          </w:p>
        </w:tc>
        <w:tc>
          <w:tcPr>
            <w:tcW w:type="dxa" w:w="8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97.73%</w:t>
            </w:r>
          </w:p>
        </w:tc>
        <w:tc>
          <w:tcPr>
            <w:tcW w:type="dxa" w:w="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₹0</w:t>
            </w:r>
          </w:p>
        </w:tc>
        <w:tc>
          <w:tcPr>
            <w:tcW w:type="dxa" w:w="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₹300</w:t>
            </w:r>
          </w:p>
        </w:tc>
        <w:tc>
          <w:tcPr>
            <w:tcW w:type="dxa" w:w="1064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₹300</w:t>
            </w:r>
          </w:p>
        </w:tc>
      </w:tr>
    </w:tbl>
    <w:p>
      <w:pPr>
        <w:spacing w:after="200"/>
        <w:jc w:val="left"/>
      </w:pPr>
      <w:r>
        <w:rPr>
          <w:i/>
          <w:iCs/>
          <w:color w:val="5B677A"/>
          <w:sz w:val="18"/>
          <w:szCs w:val="18"/>
        </w:rPr>
        <w:t xml:space="preserve">Validation period, where the thresholds were chosen. Test behaves the same way, which is evidence that the rule generalises.</w:t>
      </w:r>
    </w:p>
    <w:p>
      <w:pPr>
        <w:keepNext/>
        <w:spacing w:after="60"/>
      </w:pPr>
      <w:r>
        <w:drawing>
          <wp:inline distT="0" distB="0" distL="0" distR="0">
            <wp:extent cx="5848350" cy="1962150"/>
            <wp:effectExtent t="0" r="0" b="0" l="0"/>
            <wp:docPr id="12" name="11_risk_bands.png" descr="11_risk_bands.png" title="11_risk_band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left"/>
      </w:pPr>
      <w:r>
        <w:rPr>
          <w:i/>
          <w:iCs/>
          <w:color w:val="5B677A"/>
          <w:sz w:val="18"/>
          <w:szCs w:val="18"/>
        </w:rPr>
        <w:t xml:space="preserve">Figure 3. Test scores with the two thresholds (left) and where fraud and genuine customers land (right).</w:t>
      </w:r>
    </w:p>
    <w:p>
      <w:pPr>
        <w:pStyle w:val="Heading1"/>
        <w:keepNext/>
        <w:spacing w:after="120" w:before="280"/>
      </w:pPr>
      <w:r>
        <w:t xml:space="preserve">6. Where the money goes</w:t>
      </w:r>
    </w:p>
    <w:p>
      <w:pPr>
        <w:keepNext/>
        <w:spacing w:after="60"/>
      </w:pPr>
      <w:r>
        <w:drawing>
          <wp:inline distT="0" distB="0" distL="0" distR="0">
            <wp:extent cx="5848350" cy="2438400"/>
            <wp:effectExtent t="0" r="0" b="0" l="0"/>
            <wp:docPr id="13" name="11b_cost_waterfall.png" descr="11b_cost_waterfall.png" title="11b_cost_waterfal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left"/>
      </w:pPr>
      <w:r>
        <w:rPr>
          <w:i/>
          <w:iCs/>
          <w:color w:val="5B677A"/>
          <w:sz w:val="18"/>
          <w:szCs w:val="18"/>
        </w:rPr>
        <w:t xml:space="preserve">Figure 4. Cost bridge on test. Blocking removes most of the expected loss; OTP removes more; the friction it adds (OTP challenges, 6 blocked customers) is small.</w:t>
      </w:r>
    </w:p>
    <w:tbl>
      <w:tblPr>
        <w:tblW w:type="dxa" w:w="931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2300"/>
        <w:gridCol w:w="2300"/>
        <w:gridCol w:w="2414"/>
      </w:tblGrid>
      <w:tr>
        <w:trPr>
          <w:tblHeader/>
        </w:trPr>
        <w:tc>
          <w:tcPr>
            <w:tcW w:type="dxa" w:w="23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1428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Band</w:t>
            </w:r>
          </w:p>
        </w:tc>
        <w:tc>
          <w:tcPr>
            <w:tcW w:type="dxa" w:w="23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1428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Fraud amount in band</w:t>
            </w:r>
          </w:p>
        </w:tc>
        <w:tc>
          <w:tcPr>
            <w:tcW w:type="dxa" w:w="23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1428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Share of fraud amount</w:t>
            </w:r>
          </w:p>
        </w:tc>
        <w:tc>
          <w:tcPr>
            <w:tcW w:type="dxa" w:w="2414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1428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Genuine amount in band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7"/>
                <w:szCs w:val="17"/>
              </w:rPr>
              <w:t xml:space="preserve">APPROVE</w:t>
            </w:r>
          </w:p>
        </w:tc>
        <w:tc>
          <w:tcPr>
            <w:tcW w:type="dxa" w:w="23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2,385</w:t>
            </w:r>
          </w:p>
        </w:tc>
        <w:tc>
          <w:tcPr>
            <w:tcW w:type="dxa" w:w="23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30.9%</w:t>
            </w:r>
          </w:p>
        </w:tc>
        <w:tc>
          <w:tcPr>
            <w:tcW w:type="dxa" w:w="2414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44,06,959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7"/>
                <w:szCs w:val="17"/>
              </w:rPr>
              <w:t xml:space="preserve">STEP-UP OTP</w:t>
            </w:r>
          </w:p>
        </w:tc>
        <w:tc>
          <w:tcPr>
            <w:tcW w:type="dxa" w:w="23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1,250</w:t>
            </w:r>
          </w:p>
        </w:tc>
        <w:tc>
          <w:tcPr>
            <w:tcW w:type="dxa" w:w="23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16.2%</w:t>
            </w:r>
          </w:p>
        </w:tc>
        <w:tc>
          <w:tcPr>
            <w:tcW w:type="dxa" w:w="2414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21,733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7"/>
                <w:szCs w:val="17"/>
              </w:rPr>
              <w:t xml:space="preserve">BLOCK</w:t>
            </w:r>
          </w:p>
        </w:tc>
        <w:tc>
          <w:tcPr>
            <w:tcW w:type="dxa" w:w="23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4,092</w:t>
            </w:r>
          </w:p>
        </w:tc>
        <w:tc>
          <w:tcPr>
            <w:tcW w:type="dxa" w:w="23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53.0%</w:t>
            </w:r>
          </w:p>
        </w:tc>
        <w:tc>
          <w:tcPr>
            <w:tcW w:type="dxa" w:w="2414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25,696</w:t>
            </w:r>
          </w:p>
        </w:tc>
      </w:tr>
    </w:tbl>
    <w:p>
      <w:pPr>
        <w:spacing w:after="200"/>
        <w:jc w:val="left"/>
      </w:pPr>
      <w:r>
        <w:rPr>
          <w:i/>
          <w:iCs/>
          <w:color w:val="5B677A"/>
          <w:sz w:val="18"/>
          <w:szCs w:val="18"/>
        </w:rPr>
        <w:t xml:space="preserve">Transaction value by band, in the dataset's own (unstated) currency units, not rupees. Blocked and OTP payments hold 69% of fraudulent value but only 1.1% of genuine value.</w:t>
      </w:r>
    </w:p>
    <w:p>
      <w:pPr>
        <w:pStyle w:val="Heading1"/>
        <w:keepNext/>
        <w:spacing w:after="120" w:before="280"/>
      </w:pPr>
      <w:r>
        <w:t xml:space="preserve">7. Stress-testing the OTP assumptions</w:t>
      </w:r>
    </w:p>
    <w:tbl>
      <w:tblPr>
        <w:tblW w:type="dxa" w:w="931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14"/>
        <w:gridCol w:w="1580"/>
        <w:gridCol w:w="1580"/>
        <w:gridCol w:w="1580"/>
        <w:gridCol w:w="1580"/>
        <w:gridCol w:w="1580"/>
      </w:tblGrid>
      <w:tr>
        <w:trPr>
          <w:tblHeader/>
        </w:trPr>
        <w:tc>
          <w:tcPr>
            <w:tcW w:type="dxa" w:w="1414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1428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OTP stops \ ₹Z</w:t>
            </w:r>
          </w:p>
        </w:tc>
        <w:tc>
          <w:tcPr>
            <w:tcW w:type="dxa" w:w="158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1428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₹5</w:t>
            </w:r>
          </w:p>
        </w:tc>
        <w:tc>
          <w:tcPr>
            <w:tcW w:type="dxa" w:w="158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1428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₹10</w:t>
            </w:r>
          </w:p>
        </w:tc>
        <w:tc>
          <w:tcPr>
            <w:tcW w:type="dxa" w:w="158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1428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₹15</w:t>
            </w:r>
          </w:p>
        </w:tc>
        <w:tc>
          <w:tcPr>
            <w:tcW w:type="dxa" w:w="158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1428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₹30</w:t>
            </w:r>
          </w:p>
        </w:tc>
        <w:tc>
          <w:tcPr>
            <w:tcW w:type="dxa" w:w="158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1428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₹50</w:t>
            </w:r>
          </w:p>
        </w:tc>
      </w:tr>
      <w:tr>
        <w:trPr>
          <w:cantSplit/>
        </w:trPr>
        <w:tc>
          <w:tcPr>
            <w:tcW w:type="dxa" w:w="1414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1F2A3C"/>
                <w:sz w:val="16"/>
                <w:szCs w:val="16"/>
              </w:rPr>
              <w:t xml:space="preserve">50%</w:t>
            </w:r>
          </w:p>
        </w:tc>
        <w:tc>
          <w:tcPr>
            <w:tcW w:type="dxa" w:w="158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A3C"/>
                <w:sz w:val="16"/>
                <w:szCs w:val="16"/>
              </w:rPr>
              <w:t xml:space="preserve">₹80,500 · OTP 740</w:t>
            </w:r>
          </w:p>
        </w:tc>
        <w:tc>
          <w:tcPr>
            <w:tcW w:type="dxa" w:w="158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A3C"/>
                <w:sz w:val="16"/>
                <w:szCs w:val="16"/>
              </w:rPr>
              <w:t xml:space="preserve">₹88,050 · OTP 125</w:t>
            </w:r>
          </w:p>
        </w:tc>
        <w:tc>
          <w:tcPr>
            <w:tcW w:type="dxa" w:w="158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A3C"/>
                <w:sz w:val="16"/>
                <w:szCs w:val="16"/>
              </w:rPr>
              <w:t xml:space="preserve">₹88,675 · OTP 125</w:t>
            </w:r>
          </w:p>
        </w:tc>
        <w:tc>
          <w:tcPr>
            <w:tcW w:type="dxa" w:w="158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A3C"/>
                <w:sz w:val="16"/>
                <w:szCs w:val="16"/>
              </w:rPr>
              <w:t xml:space="preserve">₹92,400 · OTP 20</w:t>
            </w:r>
          </w:p>
        </w:tc>
        <w:tc>
          <w:tcPr>
            <w:tcW w:type="dxa" w:w="158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A3C"/>
                <w:sz w:val="16"/>
                <w:szCs w:val="16"/>
              </w:rPr>
              <w:t xml:space="preserve">₹86,600 · OTP 0</w:t>
            </w:r>
          </w:p>
        </w:tc>
      </w:tr>
      <w:tr>
        <w:trPr>
          <w:cantSplit/>
        </w:trPr>
        <w:tc>
          <w:tcPr>
            <w:tcW w:type="dxa" w:w="1414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1F2A3C"/>
                <w:sz w:val="16"/>
                <w:szCs w:val="16"/>
              </w:rPr>
              <w:t xml:space="preserve">60%</w:t>
            </w:r>
          </w:p>
        </w:tc>
        <w:tc>
          <w:tcPr>
            <w:tcW w:type="dxa" w:w="158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A3C"/>
                <w:sz w:val="16"/>
                <w:szCs w:val="16"/>
              </w:rPr>
              <w:t xml:space="preserve">₹75,500 · OTP 740</w:t>
            </w:r>
          </w:p>
        </w:tc>
        <w:tc>
          <w:tcPr>
            <w:tcW w:type="dxa" w:w="158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A3C"/>
                <w:sz w:val="16"/>
                <w:szCs w:val="16"/>
              </w:rPr>
              <w:t xml:space="preserve">₹85,050 · OTP 125</w:t>
            </w:r>
          </w:p>
        </w:tc>
        <w:tc>
          <w:tcPr>
            <w:tcW w:type="dxa" w:w="158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A3C"/>
                <w:sz w:val="16"/>
                <w:szCs w:val="16"/>
              </w:rPr>
              <w:t xml:space="preserve">₹85,675 · OTP 125</w:t>
            </w:r>
          </w:p>
        </w:tc>
        <w:tc>
          <w:tcPr>
            <w:tcW w:type="dxa" w:w="158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A3C"/>
                <w:sz w:val="16"/>
                <w:szCs w:val="16"/>
              </w:rPr>
              <w:t xml:space="preserve">₹90,400 · OTP 20</w:t>
            </w:r>
          </w:p>
        </w:tc>
        <w:tc>
          <w:tcPr>
            <w:tcW w:type="dxa" w:w="158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A3C"/>
                <w:sz w:val="16"/>
                <w:szCs w:val="16"/>
              </w:rPr>
              <w:t xml:space="preserve">₹90,800 · OTP 20</w:t>
            </w:r>
          </w:p>
        </w:tc>
      </w:tr>
      <w:tr>
        <w:trPr>
          <w:cantSplit/>
        </w:trPr>
        <w:tc>
          <w:tcPr>
            <w:tcW w:type="dxa" w:w="1414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1F2A3C"/>
                <w:sz w:val="16"/>
                <w:szCs w:val="16"/>
              </w:rPr>
              <w:t xml:space="preserve">70%</w:t>
            </w:r>
          </w:p>
        </w:tc>
        <w:tc>
          <w:tcPr>
            <w:tcW w:type="dxa" w:w="158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A3C"/>
                <w:sz w:val="16"/>
                <w:szCs w:val="16"/>
              </w:rPr>
              <w:t xml:space="preserve">₹70,500 · OTP 740</w:t>
            </w:r>
          </w:p>
        </w:tc>
        <w:tc>
          <w:tcPr>
            <w:tcW w:type="dxa" w:w="158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A3C"/>
                <w:sz w:val="16"/>
                <w:szCs w:val="16"/>
              </w:rPr>
              <w:t xml:space="preserve">₹74,200 · OTP 740</w:t>
            </w:r>
          </w:p>
        </w:tc>
        <w:tc>
          <w:tcPr>
            <w:tcW w:type="dxa" w:w="158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A3C"/>
                <w:sz w:val="16"/>
                <w:szCs w:val="16"/>
              </w:rPr>
              <w:t xml:space="preserve">₹82,675 · OTP 125</w:t>
            </w:r>
          </w:p>
        </w:tc>
        <w:tc>
          <w:tcPr>
            <w:tcW w:type="dxa" w:w="158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A3C"/>
                <w:sz w:val="16"/>
                <w:szCs w:val="16"/>
              </w:rPr>
              <w:t xml:space="preserve">₹84,550 · OTP 125</w:t>
            </w:r>
          </w:p>
        </w:tc>
        <w:tc>
          <w:tcPr>
            <w:tcW w:type="dxa" w:w="158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A3C"/>
                <w:sz w:val="16"/>
                <w:szCs w:val="16"/>
              </w:rPr>
              <w:t xml:space="preserve">₹88,800 · OTP 20</w:t>
            </w:r>
          </w:p>
        </w:tc>
      </w:tr>
      <w:tr>
        <w:trPr>
          <w:cantSplit/>
        </w:trPr>
        <w:tc>
          <w:tcPr>
            <w:tcW w:type="dxa" w:w="1414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1F2A3C"/>
                <w:sz w:val="16"/>
                <w:szCs w:val="16"/>
              </w:rPr>
              <w:t xml:space="preserve">80%</w:t>
            </w:r>
          </w:p>
        </w:tc>
        <w:tc>
          <w:tcPr>
            <w:tcW w:type="dxa" w:w="158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A3C"/>
                <w:sz w:val="16"/>
                <w:szCs w:val="16"/>
              </w:rPr>
              <w:t xml:space="preserve">₹65,500 · OTP 740</w:t>
            </w:r>
          </w:p>
        </w:tc>
        <w:tc>
          <w:tcPr>
            <w:tcW w:type="dxa" w:w="158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A3C"/>
                <w:sz w:val="16"/>
                <w:szCs w:val="16"/>
              </w:rPr>
              <w:t xml:space="preserve">₹69,200 · OTP 740</w:t>
            </w:r>
          </w:p>
        </w:tc>
        <w:tc>
          <w:tcPr>
            <w:tcW w:type="dxa" w:w="158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A3C"/>
                <w:sz w:val="16"/>
                <w:szCs w:val="16"/>
              </w:rPr>
              <w:t xml:space="preserve">₹79,675 · OTP 125</w:t>
            </w:r>
          </w:p>
        </w:tc>
        <w:tc>
          <w:tcPr>
            <w:tcW w:type="dxa" w:w="158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A3C"/>
                <w:sz w:val="16"/>
                <w:szCs w:val="16"/>
              </w:rPr>
              <w:t xml:space="preserve">₹81,550 · OTP 125</w:t>
            </w:r>
          </w:p>
        </w:tc>
        <w:tc>
          <w:tcPr>
            <w:tcW w:type="dxa" w:w="158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A3C"/>
                <w:sz w:val="16"/>
                <w:szCs w:val="16"/>
              </w:rPr>
              <w:t xml:space="preserve">₹86,800 · OTP 20</w:t>
            </w:r>
          </w:p>
        </w:tc>
      </w:tr>
      <w:tr>
        <w:trPr>
          <w:cantSplit/>
        </w:trPr>
        <w:tc>
          <w:tcPr>
            <w:tcW w:type="dxa" w:w="1414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1F2A3C"/>
                <w:sz w:val="16"/>
                <w:szCs w:val="16"/>
              </w:rPr>
              <w:t xml:space="preserve">90%</w:t>
            </w:r>
          </w:p>
        </w:tc>
        <w:tc>
          <w:tcPr>
            <w:tcW w:type="dxa" w:w="158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A3C"/>
                <w:sz w:val="16"/>
                <w:szCs w:val="16"/>
              </w:rPr>
              <w:t xml:space="preserve">₹73,115 · OTP 4163</w:t>
            </w:r>
          </w:p>
        </w:tc>
        <w:tc>
          <w:tcPr>
            <w:tcW w:type="dxa" w:w="158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A3C"/>
                <w:sz w:val="16"/>
                <w:szCs w:val="16"/>
              </w:rPr>
              <w:t xml:space="preserve">₹64,200 · OTP 740</w:t>
            </w:r>
          </w:p>
        </w:tc>
        <w:tc>
          <w:tcPr>
            <w:tcW w:type="dxa" w:w="158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A3C"/>
                <w:sz w:val="16"/>
                <w:szCs w:val="16"/>
              </w:rPr>
              <w:t xml:space="preserve">₹76,675 · OTP 125</w:t>
            </w:r>
          </w:p>
        </w:tc>
        <w:tc>
          <w:tcPr>
            <w:tcW w:type="dxa" w:w="158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A3C"/>
                <w:sz w:val="16"/>
                <w:szCs w:val="16"/>
              </w:rPr>
              <w:t xml:space="preserve">₹78,550 · OTP 125</w:t>
            </w:r>
          </w:p>
        </w:tc>
        <w:tc>
          <w:tcPr>
            <w:tcW w:type="dxa" w:w="158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A3C"/>
                <w:sz w:val="16"/>
                <w:szCs w:val="16"/>
              </w:rPr>
              <w:t xml:space="preserve">₹84,800 · OTP 20</w:t>
            </w:r>
          </w:p>
        </w:tc>
      </w:tr>
    </w:tbl>
    <w:p>
      <w:pPr>
        <w:spacing w:after="200"/>
        <w:jc w:val="left"/>
      </w:pPr>
      <w:r>
        <w:rPr>
          <w:i/>
          <w:iCs/>
          <w:color w:val="5B677A"/>
          <w:sz w:val="18"/>
          <w:szCs w:val="18"/>
        </w:rPr>
        <w:t xml:space="preserve">Each cell: test cost of the three-band rule re-optimised on validation · payments sent to OTP. The block band is 60 payments in every cell. The base case (₹15, 70%) is the middle cell.</w:t>
      </w:r>
    </w:p>
    <w:p>
      <w:pPr>
        <w:keepNext/>
        <w:spacing w:after="60"/>
      </w:pPr>
      <w:r>
        <w:drawing>
          <wp:inline distT="0" distB="0" distL="0" distR="0">
            <wp:extent cx="5848350" cy="2000250"/>
            <wp:effectExtent t="0" r="0" b="0" l="0"/>
            <wp:docPr id="14" name="10b_otp_sensitivity.png" descr="10b_otp_sensitivity.png" title="10b_otp_sensitivit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left"/>
      </w:pPr>
      <w:r>
        <w:rPr>
          <w:i/>
          <w:iCs/>
          <w:color w:val="5B677A"/>
          <w:sz w:val="18"/>
          <w:szCs w:val="18"/>
        </w:rPr>
        <w:t xml:space="preserve">Figure 5. A cheaper or stronger OTP widens the OTP band and lowers cost. A dearer or weaker OTP shrinks it, and at ₹50 with 50% the rule falls back to approve/block. Non-monotone cells reflect validation noise (57 frauds).</w:t>
      </w:r>
    </w:p>
    <w:p>
      <w:pPr>
        <w:pStyle w:val="Heading1"/>
        <w:keepNext/>
        <w:spacing w:after="120" w:before="280"/>
      </w:pPr>
      <w:r>
        <w:t xml:space="preserve">8. Observed results vs projected savings</w:t>
      </w:r>
    </w:p>
    <w:tbl>
      <w:tblPr>
        <w:tblW w:type="dxa" w:w="931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1900"/>
        <w:gridCol w:w="2200"/>
        <w:gridCol w:w="2614"/>
      </w:tblGrid>
      <w:tr>
        <w:trPr>
          <w:tblHeader/>
        </w:trPr>
        <w:tc>
          <w:tcPr>
            <w:tcW w:type="dxa" w:w="26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1428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Policy</w:t>
            </w:r>
          </w:p>
        </w:tc>
        <w:tc>
          <w:tcPr>
            <w:tcW w:type="dxa" w:w="1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1428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Observed test cost</w:t>
            </w:r>
          </w:p>
        </w:tc>
        <w:tc>
          <w:tcPr>
            <w:tcW w:type="dxa" w:w="22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1428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Saving vs no model (observed)</w:t>
            </w:r>
          </w:p>
        </w:tc>
        <w:tc>
          <w:tcPr>
            <w:tcW w:type="dxa" w:w="2614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1428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Cost per 1M payments (scenario estimate)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7"/>
                <w:szCs w:val="17"/>
              </w:rPr>
              <w:t xml:space="preserve">Approve everything (no model)</w:t>
            </w:r>
          </w:p>
        </w:tc>
        <w:tc>
          <w:tcPr>
            <w:tcW w:type="dxa" w:w="1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₹3,70,000</w:t>
            </w:r>
          </w:p>
        </w:tc>
        <w:tc>
          <w:tcPr>
            <w:tcW w:type="dxa" w:w="22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—</w:t>
            </w:r>
          </w:p>
        </w:tc>
        <w:tc>
          <w:tcPr>
            <w:tcW w:type="dxa" w:w="2614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₹65.20 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7"/>
                <w:szCs w:val="17"/>
              </w:rPr>
              <w:t xml:space="preserve">Model @ default 0.5</w:t>
            </w:r>
          </w:p>
        </w:tc>
        <w:tc>
          <w:tcPr>
            <w:tcW w:type="dxa" w:w="1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₹92,700</w:t>
            </w:r>
          </w:p>
        </w:tc>
        <w:tc>
          <w:tcPr>
            <w:tcW w:type="dxa" w:w="22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₹2,77,300</w:t>
            </w:r>
          </w:p>
        </w:tc>
        <w:tc>
          <w:tcPr>
            <w:tcW w:type="dxa" w:w="2614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₹16.34 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7"/>
                <w:szCs w:val="17"/>
              </w:rPr>
              <w:t xml:space="preserve">Model @ cost threshold</w:t>
            </w:r>
          </w:p>
        </w:tc>
        <w:tc>
          <w:tcPr>
            <w:tcW w:type="dxa" w:w="1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₹86,600</w:t>
            </w:r>
          </w:p>
        </w:tc>
        <w:tc>
          <w:tcPr>
            <w:tcW w:type="dxa" w:w="22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₹2,83,400</w:t>
            </w:r>
          </w:p>
        </w:tc>
        <w:tc>
          <w:tcPr>
            <w:tcW w:type="dxa" w:w="2614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₹15.26 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4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7"/>
                <w:szCs w:val="17"/>
              </w:rPr>
              <w:t xml:space="preserve">Three-band rule</w:t>
            </w:r>
          </w:p>
        </w:tc>
        <w:tc>
          <w:tcPr>
            <w:tcW w:type="dxa" w:w="1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4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₹82,675</w:t>
            </w:r>
          </w:p>
        </w:tc>
        <w:tc>
          <w:tcPr>
            <w:tcW w:type="dxa" w:w="22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4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₹2,87,325</w:t>
            </w:r>
          </w:p>
        </w:tc>
        <w:tc>
          <w:tcPr>
            <w:tcW w:type="dxa" w:w="2614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4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₹14.57 L (CI ₹9.13 L–₹20.26 L)</w:t>
            </w:r>
          </w:p>
        </w:tc>
      </w:tr>
    </w:tbl>
    <w:p>
      <w:pPr>
        <w:pBdr>
          <w:left w:val="single" w:color="14284B" w:sz="18" w:space="8"/>
        </w:pBdr>
        <w:shd w:fill="EEF2F7" w:color="auto" w:val="clear"/>
        <w:spacing w:after="160" w:before="80" w:line="276"/>
        <w:ind w:left="160" w:right="160"/>
      </w:pPr>
      <w:r>
        <w:rPr>
          <w:b/>
          <w:bCs/>
        </w:rPr>
        <w:t xml:space="preserve">Projected (scenario estimate, not observed):</w:t>
      </w:r>
      <w:r>
        <w:t xml:space="preserve"> if future traffic looks like the test period and the assumed costs hold, the three-band rule would save about </w:t>
      </w:r>
      <w:r>
        <w:rPr>
          <w:b/>
          <w:bCs/>
        </w:rPr>
        <w:t xml:space="preserve">₹50.63 L per million payments</w:t>
      </w:r>
      <w:r>
        <w:t xml:space="preserve"> compared with approving everything. The observed columns use held-out counts × assumed costs; the projection additionally assumes the test fraud rate (0.13%) persists.</w:t>
      </w:r>
    </w:p>
    <w:p>
      <w:pPr>
        <w:pStyle w:val="Heading1"/>
        <w:keepNext/>
        <w:spacing w:after="120" w:before="280"/>
      </w:pPr>
      <w:r>
        <w:t xml:space="preserve">9. UPI 2024 (negative control)</w:t>
      </w:r>
    </w:p>
    <w:p>
      <w:pPr>
        <w:spacing w:after="120" w:line="276"/>
      </w:pPr>
      <w:r>
        <w:t xml:space="preserve">The same exact search on the UPI validation scores produces thresholds, but on test the resulting three-band rule costs ₹4,84,680 against ₹4,80,000 for approving everything. It challenges 212 genuine customers and blocks 5, and catches no fraud. At the default 0.5 threshold, the validation "winner" would cost ₹76.74 L, because it blocks about 24,700 genuine customers. </w:t>
      </w:r>
      <w:r>
        <w:rPr>
          <w:b/>
          <w:bCs/>
        </w:rPr>
        <w:t xml:space="preserve">For UPI the cost-optimal policy is to approve everything until the data carries signal.</w:t>
      </w:r>
      <w:r>
        <w:t xml:space="preserve"> The web app enforces this in UPI mode.</w:t>
      </w:r>
    </w:p>
    <w:p>
      <w:pPr>
        <w:pStyle w:val="Heading1"/>
        <w:keepNext/>
        <w:spacing w:after="120" w:before="280"/>
      </w:pPr>
      <w:r>
        <w:t xml:space="preserve">10. How to use official costs on the day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Notebook:</w:t>
      </w:r>
      <w:r>
        <w:t xml:space="preserve"> edit `COST = L.CostConfig(X=…, Y=…, Z=…, otp_stop_rate=…)` in the setup cell and run all. Cached models are reused, so this takes about 3 minutes.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Web app:</w:t>
      </w:r>
      <w:r>
        <w:t xml:space="preserve"> open </w:t>
      </w:r>
      <w:r>
        <w:rPr>
          <w:b/>
          <w:bCs/>
        </w:rPr>
        <w:t xml:space="preserve">Policy</w:t>
      </w:r>
      <w:r>
        <w:t xml:space="preserve">, enter the four values, and press </w:t>
      </w:r>
      <w:r>
        <w:rPr>
          <w:b/>
          <w:bCs/>
        </w:rPr>
        <w:t xml:space="preserve">Re-optimise thresholds</w:t>
      </w:r>
      <w:r>
        <w:t xml:space="preserve">. The new thresholds apply to Score and Batch immediately, and the test-period table updates.</w:t>
      </w:r>
    </w:p>
    <w:sectPr>
      <w:footerReference w:type="default" r:id="rId6"/>
      <w:pgSz w:w="11906" w:h="16838" w:orient="portrait"/>
      <w:pgMar w:top="1150" w:right="1296" w:bottom="1150" w:left="1296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B677A"/>
        <w:sz w:val="16"/>
        <w:szCs w:val="16"/>
      </w:rPr>
      <w:t xml:space="preserve">FraudGuard · Cost Analysis &amp; Risk-Score Rule · page </w:t>
    </w:r>
    <w:r>
      <w:rPr>
        <w:color w:val="5B677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  <w:lvl w:ilvl="1" w:tentative="1">
      <w:start w:val="1"/>
      <w:numFmt w:val="bullet"/>
      <w:lvlText w:val="–"/>
      <w:lvlJc w:val="left"/>
      <w:pPr>
        <w:ind w:left="8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3C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4284B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14284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14284B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e549fae5af95941c4b241ad8e003aa5340d0ebf1.png"/><Relationship Id="rId9" Type="http://schemas.openxmlformats.org/officeDocument/2006/relationships/image" Target="media/49a04178e5dec84ec464335b6e9911ff4408d7f0.png"/><Relationship Id="rId10" Type="http://schemas.openxmlformats.org/officeDocument/2006/relationships/image" Target="media/054465b2885cfc636b1e6427ca33b3fe7e50b793.png"/><Relationship Id="rId11" Type="http://schemas.openxmlformats.org/officeDocument/2006/relationships/image" Target="media/40522047e065dac028a2faf12c4a9d40c3c440b4.png"/><Relationship Id="rId12" Type="http://schemas.openxmlformats.org/officeDocument/2006/relationships/image" Target="media/774d4057f9b1829513f2a00812a90981cc125c8e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Cost Analysis &amp; Risk-Score Rule</dc:title>
  <dc:creator>FraudGuard team</dc:creator>
  <dc:description>From model score to approve / step-up OTP / block, using expected rupee cost · thresholds chosen on validation, frozen, scored once on test · ULB credit card (primary), UPI 2024 (control)</dc:description>
  <cp:lastModifiedBy>Un-named</cp:lastModifiedBy>
  <cp:revision>1</cp:revision>
  <dcterms:created xsi:type="dcterms:W3CDTF">2026-10-31T10:22:26.684Z</dcterms:created>
  <dcterms:modified xsi:type="dcterms:W3CDTF">2026-10-31T10:22:26.684Z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