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5470A"/>
          <w:sz w:val="20"/>
          <w:szCs w:val="20"/>
        </w:rPr>
        <w:t xml:space="preserve">FraudGuard</w:t>
      </w:r>
    </w:p>
    <w:p>
      <w:pPr>
        <w:pStyle w:val="Title"/>
        <w:spacing w:after="60"/>
      </w:pPr>
      <w:r>
        <w:t xml:space="preserve">Model Comparison</w:t>
      </w:r>
    </w:p>
    <w:p>
      <w:pPr>
        <w:pBdr>
          <w:bottom w:val="single" w:color="D3D9E2" w:sz="6" w:space="6"/>
        </w:pBdr>
        <w:spacing w:after="240"/>
      </w:pPr>
      <w:r>
        <w:rPr>
          <w:color w:val="5B677A"/>
          <w:sz w:val="20"/>
          <w:szCs w:val="20"/>
        </w:rPr>
        <w:t xml:space="preserve">All supervised models, imbalance methods, label-free detectors, metrics and the final selection with reasoning · ULB credit card (primary) and UPI 2024 (negative control) · seed 42</w:t>
      </w:r>
    </w:p>
    <w:p>
      <w:pPr>
        <w:pStyle w:val="Heading1"/>
        <w:keepNext/>
        <w:spacing w:after="120" w:before="280"/>
      </w:pPr>
      <w:r>
        <w:t xml:space="preserve">1. The decision in one paragraph</w:t>
      </w:r>
    </w:p>
    <w:p>
      <w:pPr>
        <w:pBdr>
          <w:left w:val="single" w:color="14284B" w:sz="18" w:space="8"/>
        </w:pBdr>
        <w:shd w:fill="EEF2F7" w:color="auto" w:val="clear"/>
        <w:spacing w:after="160" w:before="80" w:line="276"/>
        <w:ind w:left="160" w:right="160"/>
      </w:pPr>
      <w:r>
        <w:rPr>
          <w:b/>
          <w:bCs/>
        </w:rPr>
        <w:t xml:space="preserve">Selected model: CatBoost | class weights.</w:t>
      </w:r>
      <w:r>
        <w:t xml:space="preserve"> It has the best validation PR-AUC (0.784) and the lowest validation cost (₹66,300) among the shortlisted models. On the untouched test period it reaches PR-AUC 0.799 (95% CI 0.71–0.88), against 0.0013 for a random ranking, and a label-permutation test gives p &lt; 0.002. It scores a transaction in about 0.5 µs and has an exact TreeSHAP explanation.</w:t>
      </w:r>
    </w:p>
    <w:p>
      <w:pPr>
        <w:spacing w:after="120" w:line="276"/>
      </w:pPr>
      <w:r>
        <w:t xml:space="preserve">We compared </w:t>
      </w:r>
      <w:r>
        <w:rPr>
          <w:b/>
          <w:bCs/>
        </w:rPr>
        <w:t xml:space="preserve">22 supervised candidates</w:t>
      </w:r>
      <w:r>
        <w:t xml:space="preserve"> and </w:t>
      </w:r>
      <w:r>
        <w:rPr>
          <w:b/>
          <w:bCs/>
        </w:rPr>
        <w:t xml:space="preserve">6 label-free detectors</w:t>
      </w:r>
      <w:r>
        <w:t xml:space="preserve">. The selection rule was written before test was opened. The top six models overlap within their confidence intervals on test, so the choice rests on cost and operability, not on a clear accuracy gap.</w:t>
      </w:r>
    </w:p>
    <w:p>
      <w:pPr>
        <w:pStyle w:val="Heading1"/>
        <w:keepNext/>
        <w:spacing w:after="120" w:before="280"/>
      </w:pPr>
      <w:r>
        <w:t xml:space="preserve">2. Protocol (how every model was treated)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300"/>
        <w:gridCol w:w="1000"/>
        <w:gridCol w:w="1200"/>
        <w:gridCol w:w="4514"/>
      </w:tblGrid>
      <w:tr>
        <w:trPr>
          <w:tblHeader/>
        </w:trPr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Split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Frauds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 rate</w:t>
            </w:r>
          </w:p>
        </w:tc>
        <w:tc>
          <w:tcPr>
            <w:tcW w:type="dxa" w:w="45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train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1,70,235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342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0.201%</w:t>
            </w:r>
          </w:p>
        </w:tc>
        <w:tc>
          <w:tcPr>
            <w:tcW w:type="dxa" w:w="45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fitting every model; Optuna time-series folds; deep-model early stopping (last 15%)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validation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56,745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57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0.100%</w:t>
            </w:r>
          </w:p>
        </w:tc>
        <w:tc>
          <w:tcPr>
            <w:tcW w:type="dxa" w:w="45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model selection, calibration, both thresholds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test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56,746</w:t>
            </w:r>
          </w:p>
        </w:tc>
        <w:tc>
          <w:tcPr>
            <w:tcW w:type="dxa" w:w="1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74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0.130%</w:t>
            </w:r>
          </w:p>
        </w:tc>
        <w:tc>
          <w:tcPr>
            <w:tcW w:type="dxa" w:w="451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scored once, at the end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Time-ordered split of the de-duplicated credit-card data (283,726 rows). The fraud rate drifts (0.20% → 0.10% → 0.13%), which a random split would hide.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Imbalance handling stays inside the training pipeline.</w:t>
      </w:r>
      <w:r>
        <w:t xml:space="preserve"> SMOTE runs inside an `imblearn.Pipeline`, so synthetic frauds come only from the training fold. Nothing is resampled before the split.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Metrics:</w:t>
      </w:r>
      <w:r>
        <w:t xml:space="preserve"> PR-AUC (primary, threshold-free), ROC-AUC (with a caution), and precision, recall, F1 and ₹ cost, each at the model's own validation cost-optimal threshold. Test PR-AUC has a 200-sample stratified bootstrap 95%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Baselines a fraud team could run without ML:</w:t>
      </w:r>
      <w:r>
        <w:t xml:space="preserve"> a business rule (night and amount above the 95th percentile) and a learned two-split decision tree (V14 ≤ −1.63, then V10).</w:t>
      </w:r>
    </w:p>
    <w:p>
      <w:pPr>
        <w:pStyle w:val="Heading1"/>
        <w:keepNext/>
        <w:spacing w:after="120" w:before="280"/>
      </w:pPr>
      <w:r>
        <w:t xml:space="preserve">3. Full comparison table (credit card)</w:t>
      </w:r>
    </w:p>
    <w:p>
      <w:pPr>
        <w:spacing w:after="120" w:line="276"/>
      </w:pPr>
      <w:r>
        <w:t xml:space="preserve">◆ = selected. Validation columns drove the choice; test columns are reported for transparency. Latency is measured on batch scoring, per transaction, on a 2-core CPU.</w:t>
      </w:r>
    </w:p>
    <w:p>
      <w:pPr>
        <w:sectPr>
          <w:footerReference w:type="default" r:id="rId6"/>
          <w:pgSz w:w="11906" w:h="16838" w:orient="portrait"/>
          <w:pgMar w:top="1150" w:right="1296" w:bottom="1150" w:left="1296" w:header="708" w:footer="708" w:gutter="0"/>
          <w:pgNumType/>
          <w:docGrid w:linePitch="360"/>
        </w:sectPr>
      </w:pPr>
    </w:p>
    <w:tbl>
      <w:tblPr>
        <w:tblW w:type="dxa" w:w="142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900"/>
        <w:gridCol w:w="900"/>
        <w:gridCol w:w="1600"/>
        <w:gridCol w:w="950"/>
        <w:gridCol w:w="950"/>
        <w:gridCol w:w="850"/>
        <w:gridCol w:w="750"/>
        <w:gridCol w:w="1100"/>
        <w:gridCol w:w="1100"/>
        <w:gridCol w:w="1246"/>
      </w:tblGrid>
      <w:tr>
        <w:trPr>
          <w:tblHeader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Model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Imbalance handling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 PR-AUC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 PR-AUC (95% CI)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 ROC-AUC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Precision*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Recall*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F1*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 ₹ cost*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Test ₹ cost*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µs / txn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CatBoost | class weights  ◆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class weights (√balanced)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0.784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0.799 (0.71–0.88)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0.968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72.5%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78.4%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0.753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₹66,300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₹86,600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4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XGBoost | class weights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class weights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0.783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0.790 (0.69–0.87)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0.976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91.7%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74.3%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0.821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₹70,900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₹96,500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Ensemble | soft-vote CatBoost+XGB+LGBM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inherits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0.781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0.799 (0.71–0.88)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0.983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65.2%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78.4%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0.712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₹69,000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₹89,300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11.4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LightGBM | Optuna-tuned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tuned scale_pos_weight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0.777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0.801 (0.71–0.88)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0.984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71.6%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78.4%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0.748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₹67,500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₹86,900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8.3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XGBoost | none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none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0.775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0.791 (0.70–0.87)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0.979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58.4%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79.7%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0.674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₹70,200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₹87,600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2.7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Hybrid | tuned LightGBM + anomaly scores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tuned scale_pos_weight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0.775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0.789 (0.70–0.87)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0.983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70.4%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77.0%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0.735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₹67,500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₹92,200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28.1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LightGBM | SMOTE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SMOTE (in-fold)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0.773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0.778 (0.68–0.87)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0.978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53.2%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78.4%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0.634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₹68,700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₹95,300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15.0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LightGBM | class weights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class weights (√ratio)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0.771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0.794 (0.70–0.88)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0.988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58.4%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79.7%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0.674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₹72,600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₹87,600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15.9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LightGBM | none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none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0.799 (0.70–0.88)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0.983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88.5%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73.0%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₹73,000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₹1.02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14.1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RandomForest | none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none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0.769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0.787 (0.70–0.87)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0.944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74.0%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77.0%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0.755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₹66,900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₹91,000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5.6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BalancedRF | undersample-bagging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per-tree undersampling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0.766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0.802 (0.71–0.88)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0.989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68.2%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78.4%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0.730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₹67,800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₹88,100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5.9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RandomForest | class weights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class weights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0.766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0.802 (0.72–0.88)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0.940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64.4%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78.4%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0.707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₹67,800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₹89,600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RandomForest | SMOTE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SMOTE (in-fold)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0.764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0.813 (0.72–0.88)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0.970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85.9%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74.3%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0.797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₹70,900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₹97,700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7.2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XGBoost | SMOTE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SMOTE (in-fold)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0.763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0.779 (0.68–0.87)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0.976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73.1%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77.0%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0.750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₹69,800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₹91,300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2.8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LogReg | class weights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class weights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0.753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0.745 (0.66–0.86)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0.981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72.6%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71.6%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0.721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₹74,900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₹1.11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Deep MLP | focal loss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focal loss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0.742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0.806 (0.72–0.88)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0.981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66.3%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79.7%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0.724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₹79,900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₹84,000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FT-Transformer | focal loss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focal loss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0.707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0.739 (0.64–0.83)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0.939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74.7%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75.7%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0.752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₹71,900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₹95,700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57.5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LogReg | SMOTE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SMOTE (in-fold)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0.705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0.741 (0.64–0.83)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0.978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58.9%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75.7%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0.663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₹69,600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₹1.02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EasyEnsemble | undersample-boosting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per-member undersampling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0.654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0.599 (0.49–0.73)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0.984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49.5%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73.0%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0.590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₹95,100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₹1.17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16.4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LogReg | none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none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0.608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0.694 (0.59–0.79)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0.975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58.1%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73.0%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0.647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₹83,100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₹1.12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Rule | learned 2-split tree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0.150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0.176 (0.13–0.22)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0.959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24.4%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70.3%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0.362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₹1.25 L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₹1.58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Rule | night &amp; amount&gt;p95</w:t>
            </w:r>
          </w:p>
        </w:tc>
        <w:tc>
          <w:tcPr>
            <w:tcW w:type="dxa" w:w="1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0.001</w:t>
            </w:r>
          </w:p>
        </w:tc>
        <w:tc>
          <w:tcPr>
            <w:tcW w:type="dxa" w:w="16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0.001 (0.00–0.00)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0.500</w:t>
            </w:r>
          </w:p>
        </w:tc>
        <w:tc>
          <w:tcPr>
            <w:tcW w:type="dxa" w:w="9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0.0%</w:t>
            </w:r>
          </w:p>
        </w:tc>
        <w:tc>
          <w:tcPr>
            <w:tcW w:type="dxa" w:w="8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0.0%</w:t>
            </w:r>
          </w:p>
        </w:tc>
        <w:tc>
          <w:tcPr>
            <w:tcW w:type="dxa" w:w="7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0.000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₹2.85 L</w:t>
            </w:r>
          </w:p>
        </w:tc>
        <w:tc>
          <w:tcPr>
            <w:tcW w:type="dxa" w:w="11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₹3.70 L</w:t>
            </w:r>
          </w:p>
        </w:tc>
        <w:tc>
          <w:tcPr>
            <w:tcW w:type="dxa" w:w="1246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* at each model's own cost-optimal threshold chosen on validation (missed fraud ₹5,000, false block ₹300). Sorted by validation PR-AUC.</w:t>
      </w:r>
    </w:p>
    <w:p>
      <w:pPr>
        <w:keepNext/>
        <w:spacing w:after="60"/>
      </w:pPr>
      <w:r>
        <w:drawing>
          <wp:inline distT="0" distB="0" distL="0" distR="0">
            <wp:extent cx="8782050" cy="5476875"/>
            <wp:effectExtent t="0" r="0" b="0" l="0"/>
            <wp:docPr id="1" name="05c_metric_heat_table.png" descr="05c_metric_heat_table.png" title="05c_metric_heat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1. Metric heat-table for all 22 models (colour = rank within each column).</w:t>
      </w:r>
    </w:p>
    <w:p>
      <w:pPr>
        <w:sectPr>
          <w:footerReference w:type="default" r:id="rId7"/>
          <w:pgSz w:w="16838" w:h="11906" w:orient="landscape"/>
          <w:pgMar w:top="1150" w:right="1296" w:bottom="1150" w:left="1296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280"/>
      </w:pPr>
      <w:r>
        <w:t xml:space="preserve">4. Combined views</w:t>
      </w:r>
    </w:p>
    <w:p>
      <w:pPr>
        <w:keepNext/>
        <w:spacing w:after="60"/>
      </w:pPr>
      <w:r>
        <w:drawing>
          <wp:inline distT="0" distB="0" distL="0" distR="0">
            <wp:extent cx="5848350" cy="4257675"/>
            <wp:effectExtent t="0" r="0" b="0" l="0"/>
            <wp:docPr id="2" name="05b_all_models_pr_auc_ci.png" descr="05b_all_models_pr_auc_ci.png" title="05b_all_models_pr_auc_c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2. Test PR-AUC with 95% bootstrap CI (dots) and validation PR-AUC (bars) for every model. The gradient-boosted trees and forests overlap; rule baselines sit far left.</w:t>
      </w:r>
    </w:p>
    <w:p>
      <w:pPr>
        <w:keepNext/>
        <w:spacing w:after="60"/>
      </w:pPr>
      <w:r>
        <w:drawing>
          <wp:inline distT="0" distB="0" distL="0" distR="0">
            <wp:extent cx="5848350" cy="2514600"/>
            <wp:effectExtent t="0" r="0" b="0" l="0"/>
            <wp:docPr id="3" name="07_pr_curves.png" descr="07_pr_curves.png" title="07_pr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3. Precision–recall curves on the test period for the main candidates, the best label-free detector and the learned rule.</w:t>
      </w:r>
    </w:p>
    <w:p>
      <w:pPr>
        <w:keepNext/>
        <w:spacing w:after="60"/>
      </w:pPr>
      <w:r>
        <w:drawing>
          <wp:inline distT="0" distB="0" distL="0" distR="0">
            <wp:extent cx="4391025" cy="3648075"/>
            <wp:effectExtent t="0" r="0" b="0" l="0"/>
            <wp:docPr id="4" name="05e_roc_curves.png" descr="05e_roc_curves.png" title="05e_roc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4. ROC on test with a log x-axis. Every model looks excellent by ROC-AUC (0.94–0.99), which is why PR-AUC and cost drive selection at 0.13% prevalence.</w:t>
      </w:r>
    </w:p>
    <w:p>
      <w:pPr>
        <w:pStyle w:val="Heading1"/>
        <w:keepNext/>
        <w:spacing w:after="120" w:before="280"/>
      </w:pPr>
      <w:r>
        <w:t xml:space="preserve">5. Individual views</w:t>
      </w:r>
    </w:p>
    <w:p>
      <w:pPr>
        <w:keepNext/>
        <w:spacing w:after="60"/>
      </w:pPr>
      <w:r>
        <w:drawing>
          <wp:inline distT="0" distB="0" distL="0" distR="0">
            <wp:extent cx="5848350" cy="4600575"/>
            <wp:effectExtent t="0" r="0" b="0" l="0"/>
            <wp:docPr id="5" name="05d_individual_pr_curves.png" descr="05d_individual_pr_curves.png" title="05d_individual_pr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5. One precision–recall panel per model: solid = test, dashed = validation. Close solid and dashed curves mean the model generalises to the later period.</w:t>
      </w:r>
    </w:p>
    <w:p>
      <w:pPr>
        <w:pStyle w:val="Heading1"/>
        <w:keepNext/>
        <w:spacing w:after="120" w:before="280"/>
      </w:pPr>
      <w:r>
        <w:t xml:space="preserve">6. Imbalance methods: class weights vs SMOTE vs none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438"/>
        <w:gridCol w:w="2438"/>
        <w:gridCol w:w="2438"/>
      </w:tblGrid>
      <w:tr>
        <w:trPr>
          <w:tblHeader/>
        </w:trPr>
        <w:tc>
          <w:tcPr>
            <w:tcW w:type="dxa" w:w="2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Family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 handling (val PR-AUC / val ₹)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 weights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SMOTE in pipeline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Logistic Regression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0.608 / ₹83,100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0.753 / ₹74,900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0.705 / ₹69,600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Random Forest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0.769 / ₹66,900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0.766 / ₹67,800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0.764 / ₹70,900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XGBoost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0.775 / ₹70,200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0.783 / ₹70,900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0.763 / ₹69,800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LightGBM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0.770 / ₹73,000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0.771 / ₹72,600</w:t>
            </w:r>
          </w:p>
        </w:tc>
        <w:tc>
          <w:tcPr>
            <w:tcW w:type="dxa" w:w="2438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0.773 / ₹68,700</w:t>
            </w:r>
          </w:p>
        </w:tc>
      </w:tr>
    </w:tbl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Validation PR-AUC / validation cost at the best threshold. Also tested: Balanced RF and EasyEnsemble (undersampling per tree or member), CatBoost (√-balanced weights), focal loss for the neural models, and a tuned scale_pos_weight in Optuna.</w:t>
      </w:r>
    </w:p>
    <w:p>
      <w:pPr>
        <w:keepNext/>
        <w:spacing w:after="60"/>
      </w:pPr>
      <w:r>
        <w:drawing>
          <wp:inline distT="0" distB="0" distL="0" distR="0">
            <wp:extent cx="5848350" cy="2371725"/>
            <wp:effectExtent t="0" r="0" b="0" l="0"/>
            <wp:docPr id="6" name="05_weights_vs_smote.png" descr="05_weights_vs_smote.png" title="05_weights_vs_smo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6. Imbalance handling by model family.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Logistic regression needs imbalance handling.</w:t>
      </w:r>
      <w:r>
        <w:t xml:space="preserve"> Class weights lift validation PR-AUC from 0.608 to 0.753; SMOTE reaches 0.705.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For tree ensembles the three regimes are within noise</w:t>
      </w:r>
      <w:r>
        <w:t xml:space="preserve"> (±0.02), well inside the ±0.08 bootstrap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Decision:</w:t>
      </w:r>
      <w:r>
        <w:t xml:space="preserve"> class weights. No synthetic transactions, no extra training time, and probabilities that stay closer to calibrated.</w:t>
      </w:r>
    </w:p>
    <w:p>
      <w:pPr>
        <w:pStyle w:val="Heading1"/>
        <w:keepNext/>
        <w:spacing w:after="120" w:before="280"/>
      </w:pPr>
      <w:r>
        <w:t xml:space="preserve">7. Research models</w:t>
      </w:r>
    </w:p>
    <w:p>
      <w:pPr>
        <w:spacing w:after="120" w:line="276"/>
      </w:pPr>
      <w:r>
        <w:t xml:space="preserve">The </w:t>
      </w:r>
      <w:r>
        <w:rPr>
          <w:b/>
          <w:bCs/>
        </w:rPr>
        <w:t xml:space="preserve">FT-Transformer</w:t>
      </w:r>
      <w:r>
        <w:t xml:space="preserve"> (Gorishniy et al., 2021) and a </w:t>
      </w:r>
      <w:r>
        <w:rPr>
          <w:b/>
          <w:bCs/>
        </w:rPr>
        <w:t xml:space="preserve">focal-loss MLP</w:t>
      </w:r>
      <w:r>
        <w:t xml:space="preserve"> (Lin et al., 2017) were trained with early stopping on the last 15% of train. They reached validation PR-AUC 0.707 and 0.742, below every gradient-boosted tree. This matches the published finding that tree ensembles still lead on mid-sized tabular data (Grinsztajn et al., 2022). </w:t>
      </w:r>
      <w:r>
        <w:rPr>
          <w:b/>
          <w:bCs/>
        </w:rPr>
        <w:t xml:space="preserve">Optuna</w:t>
      </w:r>
      <w:r>
        <w:t xml:space="preserve"> (30 TPE trials on time-series folds inside train) did not beat default LightGBM on validation. The </w:t>
      </w:r>
      <w:r>
        <w:rPr>
          <w:b/>
          <w:bCs/>
        </w:rPr>
        <w:t xml:space="preserve">hybrid</w:t>
      </w:r>
      <w:r>
        <w:t xml:space="preserve"> (tuned LightGBM plus three anomaly scores as features) also added nothing.</w:t>
      </w:r>
    </w:p>
    <w:p>
      <w:pPr>
        <w:pStyle w:val="Heading1"/>
        <w:keepNext/>
        <w:spacing w:after="120" w:before="280"/>
      </w:pPr>
      <w:r>
        <w:t xml:space="preserve">8. Label-free anomaly detectors (trained without labels)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050"/>
        <w:gridCol w:w="1050"/>
        <w:gridCol w:w="1200"/>
        <w:gridCol w:w="1300"/>
        <w:gridCol w:w="1250"/>
        <w:gridCol w:w="1164"/>
      </w:tblGrid>
      <w:tr>
        <w:trPr>
          <w:tblHeader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PR-AUC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ROC-AUC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 in top 0.5%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 in top 1%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Precision in top 1%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14284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Fraud in top 5%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COPOD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0.086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0.946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49%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59%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7.7%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84%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ECOD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0.068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0.947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41%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58%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7.6%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84%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Isolation Forest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0.049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0.956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23%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53%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6.9%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84%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LOF (novelty)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0.042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0.577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28%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30%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3.9%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41%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Autoencoder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0.034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0.920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24%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41%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5.3%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64%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color w:val="1F2A3C"/>
                <w:sz w:val="17"/>
                <w:szCs w:val="17"/>
              </w:rPr>
              <w:t xml:space="preserve">DBSCAN (10k test sample)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—</w:t>
            </w:r>
          </w:p>
        </w:tc>
        <w:tc>
          <w:tcPr>
            <w:tcW w:type="dxa" w:w="10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6/12 in 0.58% flagged</w:t>
            </w:r>
          </w:p>
        </w:tc>
        <w:tc>
          <w:tcPr>
            <w:tcW w:type="dxa" w:w="1250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10.3%</w:t>
            </w:r>
          </w:p>
        </w:tc>
        <w:tc>
          <w:tcPr>
            <w:tcW w:type="dxa" w:w="1164"/>
            <w:tcBorders>
              <w:top w:val="single" w:color="D3D9E2" w:sz="4"/>
              <w:left w:val="single" w:color="D3D9E2" w:sz="4"/>
              <w:bottom w:val="single" w:color="D3D9E2" w:sz="4"/>
              <w:right w:val="single" w:color="D3D9E2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color w:val="1F2A3C"/>
                <w:sz w:val="17"/>
                <w:szCs w:val="17"/>
              </w:rPr>
              <w:t xml:space="preserve">—</w:t>
            </w:r>
          </w:p>
        </w:tc>
      </w:tr>
    </w:tbl>
    <w:p>
      <w:pPr>
        <w:keepNext/>
        <w:spacing w:after="60"/>
      </w:pPr>
      <w:r>
        <w:drawing>
          <wp:inline distT="0" distB="0" distL="0" distR="0">
            <wp:extent cx="5848350" cy="1914525"/>
            <wp:effectExtent t="0" r="0" b="0" l="0"/>
            <wp:docPr id="7" name="06_anomaly_vs_supervised.png" descr="06_anomaly_vs_supervised.png" title="06_anomaly_vs_supervi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7. COPOD score distribution (left) and share of test fraud in the top 1% of scores, label-free detectors vs the supervised model (right).</w:t>
      </w:r>
    </w:p>
    <w:p>
      <w:pPr>
        <w:spacing w:after="120" w:line="276"/>
      </w:pPr>
      <w:r>
        <w:rPr>
          <w:b/>
          <w:bCs/>
        </w:rPr>
        <w:t xml:space="preserve">Comparison with supervised:</w:t>
      </w:r>
      <w:r>
        <w:t xml:space="preserve"> COPOD puts 44 of 74 test frauds in its top 1%, against 63 for CatBoost | class weights. 43 frauds are in both lists; 1 is caught only by the detector. The detector therefore works as a </w:t>
      </w:r>
      <w:r>
        <w:rPr>
          <w:b/>
          <w:bCs/>
        </w:rPr>
        <w:t xml:space="preserve">second, label-free watch-list</w:t>
      </w:r>
      <w:r>
        <w:t xml:space="preserve"> for new fraud patterns, not as the blocking model.</w:t>
      </w:r>
    </w:p>
    <w:p>
      <w:pPr>
        <w:pStyle w:val="Heading1"/>
        <w:keepNext/>
        <w:spacing w:after="120" w:before="280"/>
      </w:pPr>
      <w:r>
        <w:t xml:space="preserve">9. Selection rule and reasoning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Shortlist: every model within 0.01 of the best validation PR-AUC (CatBoost | class weights, LightGBM | Optuna-tuned, Hybrid | tuned LightGBM + anomaly scores, Ensemble | soft-vote CatBoost+XGB+LGBM, XGBoost | none, XGBoost | class weights).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Lowest validation ₹ cost at its own cost-optimal threshold: CatBoost | class weights (₹66,300).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Tie-breakers: a single model over an ensemble (latency, exact SHAP), then the fastest.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Signal check: label-permutation test on validation and test, p &lt; 0.002 for CatBoost | class weights.</w:t>
      </w:r>
    </w:p>
    <w:p>
      <w:pPr>
        <w:spacing w:after="120" w:line="276"/>
      </w:pPr>
      <w:r>
        <w:rPr>
          <w:b/>
          <w:bCs/>
        </w:rPr>
        <w:t xml:space="preserve">Fixed in advance to avoid selection bias:</w:t>
      </w:r>
      <w:r>
        <w:t xml:space="preserve"> the ensemble's members (one per GBDT library) were chosen before any validation score was seen. An ensemble of the top 3 on validation, judged on that same validation set, would look better than it is.</w:t>
      </w:r>
    </w:p>
    <w:p>
      <w:pPr>
        <w:pStyle w:val="Heading1"/>
        <w:keepNext/>
        <w:spacing w:after="120" w:before="280"/>
      </w:pPr>
      <w:r>
        <w:t xml:space="preserve">10. UPI 2024: the same comparison is a negative control</w:t>
      </w:r>
    </w:p>
    <w:p>
      <w:pPr>
        <w:pBdr>
          <w:left w:val="single" w:color="14284B" w:sz="18" w:space="8"/>
        </w:pBdr>
        <w:shd w:fill="EEF2F7" w:color="auto" w:val="clear"/>
        <w:spacing w:after="160" w:before="80" w:line="276"/>
        <w:ind w:left="160" w:right="160"/>
      </w:pPr>
      <w:r>
        <w:t xml:space="preserve">All 22 UPI models score test ROC-AUC 0.47–0.54 and test PR-AUC 0.0018–0.0031, against a base rate of 0.0019. The validation "winner" (EasyEnsemble | undersample-boosting, permutation p = 0.016) falls to p = 0.78 on test, which is what picking the best of 22 models on noise produces. Every anomaly detector catches at most 1 of 96 test frauds in its top 1%. </w:t>
      </w:r>
      <w:r>
        <w:rPr>
          <w:b/>
          <w:bCs/>
        </w:rPr>
        <w:t xml:space="preserve">No UPI model is deployable</w:t>
      </w:r>
      <w:r>
        <w:t xml:space="preserve">, and approving everything is the cost-optimal policy.</w:t>
      </w:r>
    </w:p>
    <w:p>
      <w:pPr>
        <w:keepNext/>
        <w:spacing w:after="60"/>
      </w:pPr>
      <w:r>
        <w:drawing>
          <wp:inline distT="0" distB="0" distL="0" distR="0">
            <wp:extent cx="5848350" cy="4181475"/>
            <wp:effectExtent t="0" r="0" b="0" l="0"/>
            <wp:docPr id="8" name="05b_all_models_pr_auc_ci.png" descr="05b_all_models_pr_auc_ci.png" title="05b_all_models_pr_auc_c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8. UPI: every model's test PR-AUC sits on the random line.</w:t>
      </w:r>
    </w:p>
    <w:p>
      <w:pPr>
        <w:keepNext/>
        <w:spacing w:after="60"/>
      </w:pPr>
      <w:r>
        <w:drawing>
          <wp:inline distT="0" distB="0" distL="0" distR="0">
            <wp:extent cx="5848350" cy="2428875"/>
            <wp:effectExtent t="0" r="0" b="0" l="0"/>
            <wp:docPr id="9" name="07_pr_curves.png" descr="07_pr_curves.png" title="07_pr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i/>
          <w:iCs/>
          <w:color w:val="5B677A"/>
          <w:sz w:val="18"/>
          <w:szCs w:val="18"/>
        </w:rPr>
        <w:t xml:space="preserve">Figure 9. UPI precision–recall curves (y-axis zoomed to 0–2%).</w:t>
      </w:r>
    </w:p>
    <w:p>
      <w:pPr>
        <w:spacing w:after="120" w:line="276"/>
      </w:pPr>
      <w:r>
        <w:t xml:space="preserve">Reproduce with `notebooks/fraudguard_pipeline.ipynb` (seed 42). Tables: `outputs/tables/{creditcard,upi}/model_comparison.csv` and `model_pr_auc_ci.csv`. A from-scratch rerun reproduces every number in this document exactly.</w:t>
      </w:r>
    </w:p>
    <w:sectPr>
      <w:footerReference w:type="default" r:id="rId8"/>
      <w:pgSz w:w="11906" w:h="16838" w:orient="portrait"/>
      <w:pgMar w:top="1150" w:right="1296" w:bottom="1150" w:left="129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77A"/>
        <w:sz w:val="16"/>
        <w:szCs w:val="16"/>
      </w:rPr>
      <w:t xml:space="preserve">FraudGuard · Model Comparison · page </w:t>
    </w:r>
    <w:r>
      <w:rPr>
        <w:color w:val="5B67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77A"/>
        <w:sz w:val="16"/>
        <w:szCs w:val="16"/>
      </w:rPr>
      <w:t xml:space="preserve">FraudGuard · Model Comparison · page </w:t>
    </w:r>
    <w:r>
      <w:rPr>
        <w:color w:val="5B67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77A"/>
        <w:sz w:val="16"/>
        <w:szCs w:val="16"/>
      </w:rPr>
      <w:t xml:space="preserve">FraudGuard · Model Comparison · page </w:t>
    </w:r>
    <w:r>
      <w:rPr>
        <w:color w:val="5B67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4284B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428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4284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f0336323252d769dc8c10aea8bab20866d671366.png"/><Relationship Id="rId11" Type="http://schemas.openxmlformats.org/officeDocument/2006/relationships/image" Target="media/b958adc44c92062e836063224cc173217a2ded21.png"/><Relationship Id="rId12" Type="http://schemas.openxmlformats.org/officeDocument/2006/relationships/image" Target="media/e5c1cd1863345f623750e7fb93735577851f2a4a.png"/><Relationship Id="rId13" Type="http://schemas.openxmlformats.org/officeDocument/2006/relationships/image" Target="media/2e735c3800af25349d40b8b1fbde25c707fcefb8.png"/><Relationship Id="rId14" Type="http://schemas.openxmlformats.org/officeDocument/2006/relationships/image" Target="media/78c3fb4eb54401adb3ef82d83f9e03cedd506b7b.png"/><Relationship Id="rId15" Type="http://schemas.openxmlformats.org/officeDocument/2006/relationships/image" Target="media/235c8cb65c414dcb8000d3ee6b28e0d3e9798b3d.png"/><Relationship Id="rId16" Type="http://schemas.openxmlformats.org/officeDocument/2006/relationships/image" Target="media/d05dc6daefcd1d93804c18abd24cf085a4ffef76.png"/><Relationship Id="rId17" Type="http://schemas.openxmlformats.org/officeDocument/2006/relationships/image" Target="media/8501b832a413f8937325ad3a39ea44da58acba6d.png"/><Relationship Id="rId18" Type="http://schemas.openxmlformats.org/officeDocument/2006/relationships/image" Target="media/a3e304e4968f0a2748378d6ff3ba27b61bb818c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Comparison</dc:title>
  <dc:creator>FraudGuard team</dc:creator>
  <dc:description>All supervised models, imbalance methods, label-free detectors, metrics and the final selection with reasoning · ULB credit card (primary) and UPI 2024 (negative control) · seed 42</dc:description>
  <cp:lastModifiedBy>Un-named</cp:lastModifiedBy>
  <cp:revision>1</cp:revision>
  <dcterms:created xsi:type="dcterms:W3CDTF">2026-10-31T10:22:26.275Z</dcterms:created>
  <dcterms:modified xsi:type="dcterms:W3CDTF">2026-10-31T10:22:26.276Z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