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5470A"/>
          <w:sz w:val="20"/>
          <w:szCs w:val="20"/>
        </w:rPr>
        <w:t xml:space="preserve">FraudGuard</w:t>
      </w:r>
    </w:p>
    <w:p>
      <w:pPr>
        <w:pStyle w:val="Title"/>
        <w:spacing w:after="60"/>
      </w:pPr>
      <w:r>
        <w:t xml:space="preserve">Cost Analysis &amp; Risk-Score Rule</w:t>
      </w:r>
    </w:p>
    <w:p>
      <w:pPr>
        <w:spacing w:after="80"/>
      </w:pPr>
      <w:r>
        <w:rPr>
          <w:color w:val="5B677A"/>
          <w:sz w:val="20"/>
          <w:szCs w:val="20"/>
        </w:rPr>
        <w:t xml:space="preserve">From model score to approve / step-up OTP / block, using expected rupee cost · thresholds chosen on validation, frozen, scored once on test · ULB credit card (primary), UPI 2024 (control)</w:t>
      </w:r>
    </w:p>
    <w:p>
      <w:pPr>
        <w:spacing w:after="40"/>
      </w:pPr>
      <w:r>
        <w:rPr>
          <w:b/>
          <w:bCs/>
          <w:color w:val="14284B"/>
          <w:sz w:val="20"/>
          <w:szCs w:val="20"/>
        </w:rPr>
        <w:t xml:space="preserve">Group 8 · Matrix Mechanics</w:t>
      </w:r>
      <w:r>
        <w:rPr>
          <w:color w:val="1F2A3C"/>
          <w:sz w:val="20"/>
          <w:szCs w:val="20"/>
        </w:rPr>
        <w:t xml:space="preserve">  ·  N. Varshitha · M. Kumara Swamy · V. Naishadh · M. Suman Srinivas</w:t>
      </w:r>
    </w:p>
    <w:p>
      <w:pPr>
        <w:pBdr>
          <w:bottom w:val="single" w:color="D3D9E2" w:sz="6" w:space="6"/>
        </w:pBdr>
        <w:spacing w:after="240"/>
      </w:pPr>
      <w:r>
        <w:rPr>
          <w:color w:val="5B677A"/>
          <w:sz w:val="18"/>
          <w:szCs w:val="18"/>
        </w:rPr>
        <w:t xml:space="preserve">Live app: </w:t>
      </w:r>
      <w:hyperlink w:history="1" r:id="rIdb4pbjjehltponlmrxoovx">
        <w:r>
          <w:rPr>
            <w:color w:val="2F6FEB"/>
            <w:sz w:val="18"/>
            <w:szCs w:val="18"/>
            <w:u w:val="single"/>
          </w:rPr>
          <w:t xml:space="preserve">https://calibofraudguard.netlify.app/</w:t>
        </w:r>
      </w:hyperlink>
      <w:r>
        <w:rPr>
          <w:color w:val="5B677A"/>
          <w:sz w:val="18"/>
          <w:szCs w:val="18"/>
        </w:rPr>
        <w:t xml:space="preserve">   ·   Code: </w:t>
      </w:r>
      <w:hyperlink w:history="1" r:id="rIdcoljt9zqb245rqdlxmx9j">
        <w:r>
          <w:rPr>
            <w:color w:val="2F6FEB"/>
            <w:sz w:val="18"/>
            <w:szCs w:val="18"/>
            <w:u w:val="single"/>
          </w:rPr>
          <w:t xml:space="preserve">github.com/naishadhvytla/hackathon01calibo</w:t>
        </w:r>
      </w:hyperlink>
    </w:p>
    <w:p>
      <w:pPr>
        <w:pStyle w:val="Heading1"/>
        <w:keepNext/>
        <w:spacing w:after="120" w:before="280"/>
      </w:pPr>
      <w:r>
        <w:t xml:space="preserve">1. Result</w:t>
      </w:r>
    </w:p>
    <w:p>
      <w:pPr>
        <w:pBdr>
          <w:left w:val="single" w:color="14284B" w:sz="18" w:space="8"/>
        </w:pBdr>
        <w:shd w:fill="EEF2F7" w:color="auto" w:val="clear"/>
        <w:spacing w:after="160" w:before="80" w:line="276"/>
        <w:ind w:left="160" w:right="160"/>
      </w:pPr>
      <w:r>
        <w:t xml:space="preserve">On the unseen test period (56,746 payments, 74 frauds, about 7.7 hours of traffic), the three-band rule stops or challenges </w:t>
      </w:r>
      <w:r>
        <w:rPr>
          <w:b/>
          <w:bCs/>
        </w:rPr>
        <w:t xml:space="preserve">60 of 74 frauds (81.1%)</w:t>
      </w:r>
      <w:r>
        <w:t xml:space="preserve">. It blocks only 6 genuine customers and challenges 119 with an OTP. Expected cost falls from </w:t>
      </w:r>
      <w:r>
        <w:rPr>
          <w:b/>
          <w:bCs/>
        </w:rPr>
        <w:t xml:space="preserve">₹3,70,000</w:t>
      </w:r>
      <w:r>
        <w:t xml:space="preserve"> with no model to </w:t>
      </w:r>
      <w:r>
        <w:rPr>
          <w:b/>
          <w:bCs/>
        </w:rPr>
        <w:t xml:space="preserve">₹82,675</w:t>
      </w:r>
      <w:r>
        <w:t xml:space="preserve"> (95% CI ₹51,837–₹1.15 L), a 78% reduction. The default 0.5 threshold costs ₹92,700.</w:t>
      </w:r>
    </w:p>
    <w:p>
      <w:pPr>
        <w:spacing w:after="120" w:line="276"/>
      </w:pPr>
      <w:r>
        <w:rPr>
          <w:b/>
          <w:bCs/>
        </w:rPr>
        <w:t xml:space="preserve">Owners:</w:t>
      </w:r>
      <w:r>
        <w:t xml:space="preserve"> cost-based threshold (PS6) V. Naishadh · approve / step-up OTP / block rule (PS7) M. Suman Srinivas. The same rule runs live in the web app's Policy page: https://calibofraudguard.netlify.app/</w:t>
      </w:r>
    </w:p>
    <w:p>
      <w:pPr>
        <w:pStyle w:val="Heading1"/>
        <w:keepNext/>
        <w:spacing w:after="120" w:before="280"/>
      </w:pPr>
      <w:r>
        <w:t xml:space="preserve">2. The cost model</w:t>
      </w:r>
    </w:p>
    <w:p>
      <w:pPr>
        <w:spacing w:after="120" w:line="276"/>
      </w:pPr>
      <w:r>
        <w:t xml:space="preserve">Expected cost = missed fraud × ₹X + genuine blocked × ₹Y + every OTP challenge × ₹Z + fraud that passes OTP × ₹X.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500"/>
        <w:gridCol w:w="5414"/>
      </w:tblGrid>
      <w:tr>
        <w:trPr>
          <w:tblHeader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Assumption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Missed fraud (₹X)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₹5,000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Average loss + chargeback handling + investigation; the organisers published no official figure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Genuine payment blocked (₹Y)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₹300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Lost transaction margin, a support call, churn risk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Step-up OTP (₹Z)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₹15 per challenge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Mostly genuine drop-off: about 5% of challenged customers abandon × ₹300 ≈ ₹15. The SMS itself costs well under ₹1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Fraud stopped by OTP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70%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Stolen-credential and account-takeover fraud fails OTP; socially engineered victims type the OTP themselves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Cost basis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per event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The credit-card Amount column has no stated currency (the source says only "European cardholders"), so it is never converted to rupees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Official costs.</w:t>
      </w:r>
      <w:r>
        <w:t xml:space="preserve"> The brief refers to organiser-published ₹ figures, but none were provided. Every number here comes from one config cell in the notebook (</w:t>
      </w:r>
      <w:r>
        <w:rPr>
          <w:rFonts w:ascii="Consolas" w:cs="Consolas" w:eastAsia="Consolas" w:hAnsi="Consolas"/>
        </w:rPr>
        <w:t xml:space="preserve">CostConfig</w:t>
      </w:r>
      <w:r>
        <w:t xml:space="preserve">) and the </w:t>
      </w:r>
      <w:r>
        <w:rPr>
          <w:b/>
          <w:bCs/>
        </w:rPr>
        <w:t xml:space="preserve">Policy</w:t>
      </w:r>
      <w:r>
        <w:t xml:space="preserve"> page of the web app. Entering official values there re-optimises both thresholds on validation and re-scores test, with no retraining. Sections 4 and 7 show how far the answer moves when the costs change.</w:t>
      </w:r>
    </w:p>
    <w:p>
      <w:pPr>
        <w:pStyle w:val="Heading1"/>
        <w:keepNext/>
        <w:spacing w:after="120" w:before="280"/>
      </w:pPr>
      <w:r>
        <w:t xml:space="preserve">3. Cost-based threshold (two outcomes: approve or block)</w:t>
      </w:r>
    </w:p>
    <w:p>
      <w:pPr>
        <w:keepNext/>
        <w:spacing w:after="60"/>
      </w:pPr>
      <w:r>
        <w:drawing>
          <wp:inline distT="0" distB="0" distL="0" distR="0">
            <wp:extent cx="5848350" cy="2028825"/>
            <wp:effectExtent t="0" r="0" b="0" l="0"/>
            <wp:docPr id="10" name="09_cost_threshold_confusion.png" descr="09_cost_threshold_confusion.png" title="09_cost_threshold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1. Left: expected cost on validation at every threshold (x = recall reached), with the minimum and the 0.5 default marked. Right: test confusion matrix at the chosen threshold, in rupees.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900"/>
        <w:gridCol w:w="800"/>
        <w:gridCol w:w="900"/>
        <w:gridCol w:w="1000"/>
        <w:gridCol w:w="1100"/>
        <w:gridCol w:w="1714"/>
      </w:tblGrid>
      <w:tr>
        <w:trPr>
          <w:tblHeader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Policy (test period)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  <w:tc>
          <w:tcPr>
            <w:tcW w:type="dxa" w:w="8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Precision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missed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Genuine blocked</w:t>
            </w:r>
          </w:p>
        </w:tc>
        <w:tc>
          <w:tcPr>
            <w:tcW w:type="dxa" w:w="17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cost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Do-nothing (approve all)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99.87%</w:t>
            </w:r>
          </w:p>
        </w:tc>
        <w:tc>
          <w:tcPr>
            <w:tcW w:type="dxa" w:w="8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</w:t>
            </w:r>
          </w:p>
        </w:tc>
        <w:tc>
          <w:tcPr>
            <w:tcW w:type="dxa" w:w="17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₹3,70,000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CatBoost | class weights @ default 0.5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99.95%</w:t>
            </w:r>
          </w:p>
        </w:tc>
        <w:tc>
          <w:tcPr>
            <w:tcW w:type="dxa" w:w="8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75.7%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86.2%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18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9</w:t>
            </w:r>
          </w:p>
        </w:tc>
        <w:tc>
          <w:tcPr>
            <w:tcW w:type="dxa" w:w="17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₹92,700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CatBoost | class weights @ cost threshold 0.119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99.93%</w:t>
            </w:r>
          </w:p>
        </w:tc>
        <w:tc>
          <w:tcPr>
            <w:tcW w:type="dxa" w:w="8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78.4%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72.5%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16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22</w:t>
            </w:r>
          </w:p>
        </w:tc>
        <w:tc>
          <w:tcPr>
            <w:tcW w:type="dxa" w:w="17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₹86,600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Bootstrap 95% CIs on test: recall 67.6%–86.5%, cost ₹54,500–₹1,27,245. The cost-optimal threshold is less accurate than 0.5 but ₹6,100 cheaper. Accuracy cannot rank the two.</w:t>
      </w:r>
    </w:p>
    <w:p>
      <w:pPr>
        <w:pStyle w:val="Heading1"/>
        <w:keepNext/>
        <w:spacing w:after="120" w:before="280"/>
      </w:pPr>
      <w:r>
        <w:t xml:space="preserve">4. How the threshold moves with ₹X and ₹Y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4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₹Y \ ₹X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₹1,000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₹2,500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₹5,000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₹10,000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₹25,000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₹50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9.5e-3 · 81%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1.5e-3 · 87%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₹150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9.5e-3 · 81%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₹300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₹600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₹1200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Each cell: cost-optimal threshold chosen on validation · test recall at that threshold. Base case: row ₹300, column ₹5,000.</w:t>
      </w:r>
    </w:p>
    <w:p>
      <w:pPr>
        <w:keepNext/>
        <w:spacing w:after="60"/>
      </w:pPr>
      <w:r>
        <w:drawing>
          <wp:inline distT="0" distB="0" distL="0" distR="0">
            <wp:extent cx="5848350" cy="2143125"/>
            <wp:effectExtent t="0" r="0" b="0" l="0"/>
            <wp:docPr id="11" name="10_cost_sensitivity.png" descr="10_cost_sensitivity.png" title="10_cost_sensi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2. Threshold sensitivity. Across 25 scenarios only four distinct thresholds appear, so the decision is stable across the plausible range.</w:t>
      </w:r>
    </w:p>
    <w:p>
      <w:pPr>
        <w:pStyle w:val="Heading1"/>
        <w:keepNext/>
        <w:spacing w:after="120" w:before="280"/>
      </w:pPr>
      <w:r>
        <w:t xml:space="preserve">5. The risk-score rule (three outcomes)</w:t>
      </w:r>
    </w:p>
    <w:p>
      <w:pPr>
        <w:spacing w:after="120" w:line="276"/>
      </w:pPr>
      <w:r>
        <w:t xml:space="preserve">Both thresholds are found by an </w:t>
      </w:r>
      <w:r>
        <w:rPr>
          <w:b/>
          <w:bCs/>
        </w:rPr>
        <w:t xml:space="preserve">exact search over every distinct validation score in the top 5%</w:t>
      </w:r>
      <w:r>
        <w:t xml:space="preserve">, minimising the full three-outcome cost. The same rule runs in the web app. Result: </w:t>
      </w:r>
      <w:r>
        <w:rPr>
          <w:b/>
          <w:bCs/>
        </w:rPr>
        <w:t xml:space="preserve">approve below 9.49e-3; step-up OTP from 9.49e-3 to 0.771; block at 0.771 and above.</w:t>
      </w:r>
      <w:r>
        <w:t xml:space="preserve"> On the calibrated 0–100 risk score (isotonic regression fitted on validation) that is OTP from 1.0 and block from 88.9. As a theory cross-check, Bayes-optimal cut-offs on a calibrated probability are OTP above 0.43% and block above 15.8%: the same order of decisions.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950"/>
        <w:gridCol w:w="750"/>
        <w:gridCol w:w="650"/>
        <w:gridCol w:w="850"/>
        <w:gridCol w:w="1250"/>
        <w:gridCol w:w="850"/>
        <w:gridCol w:w="900"/>
        <w:gridCol w:w="900"/>
        <w:gridCol w:w="1064"/>
      </w:tblGrid>
      <w:tr>
        <w:trPr>
          <w:tblHeader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Band (test)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Payments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Share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Frauds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Share of fraud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Genuine customers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Fraud rate in band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₹ from fraud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₹ from genuine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 ₹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APPROVE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56,561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99.67%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14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18.9%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0 (56,547 pass)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0.02%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₹70,000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STEP-UP OTP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125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0.22%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8.1%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119 challenged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4.80%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₹9,090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₹1,785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₹10,875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BLOCK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60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0.11%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54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73.0%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6 blocked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90.00%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₹1,800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₹1,800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Test period, thresholds frozen from validation. OTP band: each challenge ₹15; fraud passing OTP (30%) costs ₹5,000.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950"/>
        <w:gridCol w:w="750"/>
        <w:gridCol w:w="650"/>
        <w:gridCol w:w="850"/>
        <w:gridCol w:w="1250"/>
        <w:gridCol w:w="850"/>
        <w:gridCol w:w="900"/>
        <w:gridCol w:w="900"/>
        <w:gridCol w:w="1064"/>
      </w:tblGrid>
      <w:tr>
        <w:trPr>
          <w:tblHeader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Band (validation)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Payments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Share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Frauds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Share of fraud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Genuine customers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Fraud rate in band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₹ from fraud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₹ from genuine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 ₹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APPROVE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56,578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99.71%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11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19.3%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0 (56,567 pass)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0.02%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₹55,000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₹55,000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STEP-UP OTP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123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0.22%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3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5.3%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120 challenged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2.44%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₹4,545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₹1,800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₹6,345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BLOCK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44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0.08%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43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75.4%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1 blocked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97.73%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₹300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₹300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Validation period, where the thresholds were chosen. Test behaves the same way, which is evidence that the rule generalises.</w:t>
      </w:r>
    </w:p>
    <w:p>
      <w:pPr>
        <w:keepNext/>
        <w:spacing w:after="60"/>
      </w:pPr>
      <w:r>
        <w:drawing>
          <wp:inline distT="0" distB="0" distL="0" distR="0">
            <wp:extent cx="5848350" cy="1962150"/>
            <wp:effectExtent t="0" r="0" b="0" l="0"/>
            <wp:docPr id="12" name="11_risk_bands.png" descr="11_risk_bands.png" title="11_risk_ba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3. Test scores with the two thresholds (left) and where fraud and genuine customers land (right).</w:t>
      </w:r>
    </w:p>
    <w:p>
      <w:pPr>
        <w:pStyle w:val="Heading1"/>
        <w:keepNext/>
        <w:spacing w:after="120" w:before="280"/>
      </w:pPr>
      <w:r>
        <w:t xml:space="preserve">6. Where the money goes</w:t>
      </w:r>
    </w:p>
    <w:p>
      <w:pPr>
        <w:keepNext/>
        <w:spacing w:after="60"/>
      </w:pPr>
      <w:r>
        <w:drawing>
          <wp:inline distT="0" distB="0" distL="0" distR="0">
            <wp:extent cx="5848350" cy="2438400"/>
            <wp:effectExtent t="0" r="0" b="0" l="0"/>
            <wp:docPr id="13" name="11b_cost_waterfall.png" descr="11b_cost_waterfall.png" title="11b_cost_waterf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4. Cost bridge on test. Blocking removes most of the expected loss; OTP removes more; the friction it adds (OTP challenges, 6 blocked customers) is small.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300"/>
        <w:gridCol w:w="2300"/>
        <w:gridCol w:w="2414"/>
      </w:tblGrid>
      <w:tr>
        <w:trPr>
          <w:tblHeader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Band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amount in band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Share of fraud amount</w:t>
            </w:r>
          </w:p>
        </w:tc>
        <w:tc>
          <w:tcPr>
            <w:tcW w:type="dxa" w:w="2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Genuine amount in band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APPROVE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2,385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30.9%</w:t>
            </w:r>
          </w:p>
        </w:tc>
        <w:tc>
          <w:tcPr>
            <w:tcW w:type="dxa" w:w="2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44,06,959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STEP-UP OTP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1,250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16.2%</w:t>
            </w:r>
          </w:p>
        </w:tc>
        <w:tc>
          <w:tcPr>
            <w:tcW w:type="dxa" w:w="2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21,733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BLOCK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4,092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53.0%</w:t>
            </w:r>
          </w:p>
        </w:tc>
        <w:tc>
          <w:tcPr>
            <w:tcW w:type="dxa" w:w="2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25,696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Transaction value by band, in the dataset's own (unstated) currency units, not rupees. Blocked and OTP payments hold 69% of fraudulent value but only 1.1% of genuine value.</w:t>
      </w:r>
    </w:p>
    <w:p>
      <w:pPr>
        <w:pStyle w:val="Heading1"/>
        <w:keepNext/>
        <w:spacing w:after="120" w:before="280"/>
      </w:pPr>
      <w:r>
        <w:t xml:space="preserve">7. Stress-testing the OTP assumptions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4"/>
        <w:gridCol w:w="1580"/>
        <w:gridCol w:w="1580"/>
        <w:gridCol w:w="1580"/>
        <w:gridCol w:w="1580"/>
        <w:gridCol w:w="1580"/>
      </w:tblGrid>
      <w:tr>
        <w:trPr>
          <w:tblHeader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OTP stops \ ₹Z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₹10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₹15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₹30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₹50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50%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₹80,500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₹88,050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₹88,675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₹92,400 · OTP 20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₹86,600 · OTP 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60%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₹75,500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₹85,050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₹85,675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₹90,400 · OTP 20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₹90,800 · OTP 20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70%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₹70,500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₹74,200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₹82,675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₹84,550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₹88,800 · OTP 20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80%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₹65,500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₹69,200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₹79,675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₹81,550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₹86,800 · OTP 20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90%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₹73,115 · OTP 4163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₹64,200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₹76,675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₹78,550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₹84,800 · OTP 20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Each cell: test cost of the three-band rule re-optimised on validation · payments sent to OTP. The block band is 60 payments in every cell. The base case (₹15, 70%) is the middle cell.</w:t>
      </w:r>
    </w:p>
    <w:p>
      <w:pPr>
        <w:keepNext/>
        <w:spacing w:after="60"/>
      </w:pPr>
      <w:r>
        <w:drawing>
          <wp:inline distT="0" distB="0" distL="0" distR="0">
            <wp:extent cx="5848350" cy="2124075"/>
            <wp:effectExtent t="0" r="0" b="0" l="0"/>
            <wp:docPr id="14" name="10b_otp_sensitivity.png" descr="10b_otp_sensitivity.png" title="10b_otp_sensi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5. A cheaper or stronger OTP widens the OTP band and lowers cost. A dearer or weaker OTP shrinks it, and at ₹50 with 50% the rule falls back to approve/block. Non-monotone cells reflect validation noise (57 frauds).</w:t>
      </w:r>
    </w:p>
    <w:p>
      <w:pPr>
        <w:pStyle w:val="Heading1"/>
        <w:keepNext/>
        <w:spacing w:after="120" w:before="280"/>
      </w:pPr>
      <w:r>
        <w:t xml:space="preserve">8. Observed results vs projected savings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2200"/>
        <w:gridCol w:w="2614"/>
      </w:tblGrid>
      <w:tr>
        <w:trPr>
          <w:tblHeader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Observed test cost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Saving vs no model (observed)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 per 1M payments (scenario estimate)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Approve everything (no model)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₹3,70,000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₹65.20 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Model @ default 0.5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₹92,700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₹2,77,300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₹16.34 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Model @ cost threshold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₹86,600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₹2,83,400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₹15.26 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Three-band rule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₹82,675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₹2,87,325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₹14.57 L (CI ₹9.13 L–₹20.26 L)</w:t>
            </w:r>
          </w:p>
        </w:tc>
      </w:tr>
    </w:tbl>
    <w:p>
      <w:pPr>
        <w:pBdr>
          <w:left w:val="single" w:color="14284B" w:sz="18" w:space="8"/>
        </w:pBdr>
        <w:shd w:fill="EEF2F7" w:color="auto" w:val="clear"/>
        <w:spacing w:after="160" w:before="80" w:line="276"/>
        <w:ind w:left="160" w:right="160"/>
      </w:pPr>
      <w:r>
        <w:rPr>
          <w:b/>
          <w:bCs/>
        </w:rPr>
        <w:t xml:space="preserve">Projected (scenario estimate, not observed):</w:t>
      </w:r>
      <w:r>
        <w:t xml:space="preserve"> if future traffic looks like the test period and the assumed costs hold, the three-band rule would save about </w:t>
      </w:r>
      <w:r>
        <w:rPr>
          <w:b/>
          <w:bCs/>
        </w:rPr>
        <w:t xml:space="preserve">₹50.63 L per million payments</w:t>
      </w:r>
      <w:r>
        <w:t xml:space="preserve"> compared with approving everything. The observed columns use held-out counts × assumed costs; the projection additionally assumes the test fraud rate (0.13%) persists.</w:t>
      </w:r>
    </w:p>
    <w:p>
      <w:pPr>
        <w:pStyle w:val="Heading1"/>
        <w:keepNext/>
        <w:spacing w:after="120" w:before="280"/>
      </w:pPr>
      <w:r>
        <w:t xml:space="preserve">9. UPI 2024 (negative control)</w:t>
      </w:r>
    </w:p>
    <w:p>
      <w:pPr>
        <w:spacing w:after="120" w:line="276"/>
      </w:pPr>
      <w:r>
        <w:t xml:space="preserve">The same exact search on the UPI validation scores produces thresholds, but on test the resulting three-band rule costs ₹4,84,680 against ₹4,80,000 for approving everything. It challenges 212 genuine customers and blocks 5, and catches no fraud. At the default 0.5 threshold, the validation "winner" would cost ₹76.74 L, because it blocks about 24,700 genuine customers. </w:t>
      </w:r>
      <w:r>
        <w:rPr>
          <w:b/>
          <w:bCs/>
        </w:rPr>
        <w:t xml:space="preserve">For UPI the cost-optimal policy is to approve everything until the data carries signal.</w:t>
      </w:r>
      <w:r>
        <w:t xml:space="preserve"> The web app enforces this in UPI mode.</w:t>
      </w:r>
    </w:p>
    <w:p>
      <w:pPr>
        <w:pStyle w:val="Heading1"/>
        <w:keepNext/>
        <w:spacing w:after="120" w:before="280"/>
      </w:pPr>
      <w:r>
        <w:t xml:space="preserve">10. How to use official costs on the day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Notebook:</w:t>
      </w:r>
      <w:r>
        <w:t xml:space="preserve"> edit </w:t>
      </w:r>
      <w:r>
        <w:rPr>
          <w:rFonts w:ascii="Consolas" w:cs="Consolas" w:eastAsia="Consolas" w:hAnsi="Consolas"/>
        </w:rPr>
        <w:t xml:space="preserve">COST = L.CostConfig(X=…, Y=…, Z=…, otp_stop_rate=…)</w:t>
      </w:r>
      <w:r>
        <w:t xml:space="preserve"> in the setup cell and run all. Cached models are reused, so this takes about 3 minutes.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Web app:</w:t>
      </w:r>
      <w:r>
        <w:t xml:space="preserve"> open </w:t>
      </w:r>
      <w:r>
        <w:rPr>
          <w:b/>
          <w:bCs/>
        </w:rPr>
        <w:t xml:space="preserve">Policy</w:t>
      </w:r>
      <w:r>
        <w:t xml:space="preserve">, enter the four values, and press </w:t>
      </w:r>
      <w:r>
        <w:rPr>
          <w:b/>
          <w:bCs/>
        </w:rPr>
        <w:t xml:space="preserve">Re-optimise thresholds</w:t>
      </w:r>
      <w:r>
        <w:t xml:space="preserve">. The new thresholds apply to Score and Batch immediately, and the test-period table updates.</w:t>
      </w:r>
    </w:p>
    <w:sectPr>
      <w:footerReference w:type="default" r:id="rId6"/>
      <w:pgSz w:w="11906" w:h="16838" w:orient="portrait"/>
      <w:pgMar w:top="1150" w:right="1296" w:bottom="1150" w:left="129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77A"/>
        <w:sz w:val="16"/>
        <w:szCs w:val="16"/>
      </w:rPr>
      <w:t xml:space="preserve">FraudGuard · Group 8 · Matrix Mechanics · Cost Analysis &amp; Risk-Score Rule · page </w:t>
    </w:r>
    <w:r>
      <w:rPr>
        <w:color w:val="5B67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4284B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428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4284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b4pbjjehltponlmrxoovx" Type="http://schemas.openxmlformats.org/officeDocument/2006/relationships/hyperlink" Target="https://calibofraudguard.netlify.app/" TargetMode="External"/><Relationship Id="rIdcoljt9zqb245rqdlxmx9j" Type="http://schemas.openxmlformats.org/officeDocument/2006/relationships/hyperlink" Target="https://github.com/naishadhvytla/hackathon01calibo" TargetMode="External"/><Relationship Id="rId8" Type="http://schemas.openxmlformats.org/officeDocument/2006/relationships/image" Target="media/e549fae5af95941c4b241ad8e003aa5340d0ebf1.png"/><Relationship Id="rId9" Type="http://schemas.openxmlformats.org/officeDocument/2006/relationships/image" Target="media/e1f7e942814274949d5666c71745f834965088ab.png"/><Relationship Id="rId10" Type="http://schemas.openxmlformats.org/officeDocument/2006/relationships/image" Target="media/054465b2885cfc636b1e6427ca33b3fe7e50b793.png"/><Relationship Id="rId11" Type="http://schemas.openxmlformats.org/officeDocument/2006/relationships/image" Target="media/40522047e065dac028a2faf12c4a9d40c3c440b4.png"/><Relationship Id="rId12" Type="http://schemas.openxmlformats.org/officeDocument/2006/relationships/image" Target="media/e45a6844f3b0eec582fe95cb81191da978e3c13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 Analysis &amp; Risk-Score Rule</dc:title>
  <dc:creator>Group 8 · Matrix Mechanics</dc:creator>
  <dc:description>From model score to approve / step-up OTP / block, using expected rupee cost · thresholds chosen on validation, frozen, scored once on test · ULB credit card (primary), UPI 2024 (control)</dc:description>
  <cp:lastModifiedBy>Un-named</cp:lastModifiedBy>
  <cp:revision>1</cp:revision>
  <dcterms:created xsi:type="dcterms:W3CDTF">2026-10-31T12:21:07.180Z</dcterms:created>
  <dcterms:modified xsi:type="dcterms:W3CDTF">2026-10-31T12:21:07.180Z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