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FraudGuard — Real-Time Payment Fraud Decision System</w:t>
      </w:r>
    </w:p>
    <w:p>
      <w:pPr>
        <w:pStyle w:val="FirstParagraph"/>
      </w:pPr>
      <w:r>
        <w:rPr>
          <w:bCs/>
          <w:b/>
        </w:rPr>
        <w:t xml:space="preserve">KLU + Path-3 · ML-02 Hackathon · Real-Time UPI / Digital Payment Fraud Detection</w:t>
      </w:r>
    </w:p>
    <w:p>
      <w:pPr>
        <w:pStyle w:val="BodyText"/>
      </w:pPr>
      <w:r>
        <w:rPr>
          <w:bCs/>
          <w:b/>
        </w:rPr>
        <w:t xml:space="preserve">Group 8 · Matrix Mechanics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6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statements owned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 Varshitha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 Data quality &amp; reliability · PS2 Fraud lens &amp; the accuracy 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Kumara Swamy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PS3 Fraud patterns (EDA) · PS4 Supervised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 Naishadh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 Anomaly detection · PS6 Cost-based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Suman Srinivas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PS7 Risk-score decision rule · PS8 Model selection, explanation &amp; three actions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Live app:</w:t>
      </w:r>
      <w:r>
        <w:t xml:space="preserve"> </w:t>
      </w:r>
      <w:hyperlink r:id="rId20">
        <w:r>
          <w:rPr>
            <w:rStyle w:val="Hyperlink"/>
          </w:rPr>
          <w:t xml:space="preserve">https://calibofraudguard.netlify.app/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Code:</w:t>
      </w:r>
      <w:r>
        <w:t xml:space="preserve"> </w:t>
      </w:r>
      <w:hyperlink r:id="rId21">
        <w:r>
          <w:rPr>
            <w:rStyle w:val="Hyperlink"/>
          </w:rPr>
          <w:t xml:space="preserve">https://github.com/naishadhvytla/hackathon01calibo</w:t>
        </w:r>
      </w:hyperlink>
    </w:p>
    <w:p>
      <w:pPr>
        <w:pStyle w:val="BodyText"/>
      </w:pPr>
      <w:r>
        <w:t xml:space="preserve">FraudGuard turns a fraud model into a business decision. Every payment gets a fraud score, the score becomes</w:t>
      </w:r>
      <w:r>
        <w:t xml:space="preserve"> </w:t>
      </w:r>
      <w:r>
        <w:rPr>
          <w:bCs/>
          <w:b/>
        </w:rPr>
        <w:t xml:space="preserve">APPROVE / STEP-UP OTP / BLOCK</w:t>
      </w:r>
      <w:r>
        <w:t xml:space="preserve">, and both cut-offs are set by</w:t>
      </w:r>
      <w:r>
        <w:t xml:space="preserve"> </w:t>
      </w:r>
      <w:r>
        <w:rPr>
          <w:bCs/>
          <w:b/>
        </w:rPr>
        <w:t xml:space="preserve">expected rupee cost</w:t>
      </w:r>
      <w:r>
        <w:t xml:space="preserve">, not accuracy. A label-free anomaly layer flags unusual behaviour that no labelled fraud has shown yet. The same pipeline runs on two datasets: the ULB credit-card benchmark (primary) and the organiser’s UPI 2024 file (negative control).</w:t>
      </w:r>
    </w:p>
    <w:bookmarkStart w:id="22" w:name="results-at-a-glance"/>
    <w:p>
      <w:pPr>
        <w:pStyle w:val="Heading2"/>
      </w:pPr>
      <w:r>
        <w:t xml:space="preserve">Results at a glance</w:t>
      </w:r>
    </w:p>
    <w:p>
      <w:pPr>
        <w:pStyle w:val="FirstParagraph"/>
      </w:pPr>
      <w:r>
        <w:t xml:space="preserve">All figures are measured on the held-out test period (the last 20% of the timeline), with every threshold frozen on the validation period first. Every number is in</w:t>
      </w:r>
      <w:r>
        <w:t xml:space="preserve"> </w:t>
      </w:r>
      <w:r>
        <w:rPr>
          <w:rStyle w:val="VerbatimChar"/>
        </w:rPr>
        <w:t xml:space="preserve">outputs/summary_*.json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750"/>
        <w:gridCol w:w="253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ULB Credit Card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 2024 (negative control)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56,746 txns · 74 frauds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txns · 96 frauds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Do-nothing accuracy (the 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99.87%, 0 fraud caught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99.81%, 0 fraud caught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CatBoost + class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deployable (permutation p = 0.78)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PR-AUC (95% CI)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0.80</w:t>
            </w:r>
            <w:r>
              <w:t xml:space="preserve"> </w:t>
            </w:r>
            <w:r>
              <w:t xml:space="preserve">(0.71–0.88) vs 0.0013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 vs 0.0019 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Three-band rule (test)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blocked (54 fraud) · 125 OTP · 56,561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everything is cost-optimal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cost: no model → 0.5 → cost threshold → three-band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₹3,70,000 → ₹92,700 → ₹86,600 →</w:t>
            </w:r>
            <w:r>
              <w:t xml:space="preserve"> </w:t>
            </w:r>
            <w:r>
              <w:rPr>
                <w:bCs/>
                <w:b/>
              </w:rPr>
              <w:t xml:space="preserve">₹82,675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₹4,80,000 (no rule beats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label-free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COPOD: 59% of fraud in its top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chance</w:t>
            </w:r>
          </w:p>
        </w:tc>
      </w:tr>
    </w:tbl>
    <w:p>
      <w:pPr>
        <w:pStyle w:val="BodyText"/>
      </w:pPr>
      <w:r>
        <w:t xml:space="preserve">The rupee costs are stated assumptions (missed fraud ₹5,000, false block ₹300, OTP ₹15, OTP stops 70% of fraud), so rupee figures are scenario estimates. The organisers published no official values. The notebook config cell and the web app’s Policy page recompute everything for any values.</w:t>
      </w:r>
    </w:p>
    <w:p>
      <w:r>
        <w:pict>
          <v:rect style="width:0;height:1.5pt" o:hralign="center" o:hrstd="t" o:hr="t"/>
        </w:pict>
      </w:r>
    </w:p>
    <w:bookmarkEnd w:id="22"/>
    <w:bookmarkStart w:id="26" w:name="quick-start"/>
    <w:p>
      <w:pPr>
        <w:pStyle w:val="Heading2"/>
      </w:pPr>
      <w:r>
        <w:t xml:space="preserve">1 · Quick start</w:t>
      </w:r>
    </w:p>
    <w:bookmarkStart w:id="23" w:name="option-a-google-colab-recommended"/>
    <w:p>
      <w:pPr>
        <w:pStyle w:val="Heading3"/>
      </w:pPr>
      <w:r>
        <w:t xml:space="preserve">Option A — Google Colab (recommended)</w:t>
      </w:r>
    </w:p>
    <w:p>
      <w:pPr>
        <w:numPr>
          <w:ilvl w:val="0"/>
          <w:numId w:val="1001"/>
        </w:numPr>
      </w:pPr>
      <w:r>
        <w:t xml:space="preserve">Upload this repository folder to Google Drive, e.g. </w:t>
      </w:r>
      <w:r>
        <w:rPr>
          <w:rStyle w:val="VerbatimChar"/>
        </w:rPr>
        <w:t xml:space="preserve">MyDrive/fraudguard/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</w:t>
      </w:r>
      <w:r>
        <w:t xml:space="preserve"> </w:t>
      </w:r>
      <w:r>
        <w:rPr>
          <w:rStyle w:val="VerbatimChar"/>
        </w:rPr>
        <w:t xml:space="preserve">creditcard.csv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creditcard.zip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upi_transactions 2024.csv</w:t>
      </w:r>
      <w:r>
        <w:t xml:space="preserve"> </w:t>
      </w:r>
      <w:r>
        <w:t xml:space="preserve">(or its zip) in</w:t>
      </w:r>
      <w:r>
        <w:t xml:space="preserve"> </w:t>
      </w:r>
      <w:r>
        <w:rPr>
          <w:rStyle w:val="VerbatimChar"/>
        </w:rPr>
        <w:t xml:space="preserve">fraudguard/data/</w:t>
      </w:r>
      <w:r>
        <w:t xml:space="preserve">. Zips are unpacked automatically.</w:t>
      </w:r>
    </w:p>
    <w:p>
      <w:pPr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fraudguard_pipeline.ipynb</w:t>
      </w:r>
      <w:r>
        <w:t xml:space="preserve"> </w:t>
      </w:r>
      <w:r>
        <w:t xml:space="preserve">(repository root) in Colab and run this first cell: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google.colab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drive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drive.mount(</w:t>
      </w:r>
      <w:r>
        <w:rPr>
          <w:rStyle w:val="StringTok"/>
        </w:rPr>
        <w:t xml:space="preserve">'/content/drive'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cd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drive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MyDrive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fraudguard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install xgboost lightgbm catboost shap imbalanced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optuna pyod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Runtime → Run all.</w:t>
      </w:r>
      <w:r>
        <w:t xml:space="preserve"> </w:t>
      </w:r>
      <w:r>
        <w:t xml:space="preserve">This runs the credit-card dataset. For the UPI control, set</w:t>
      </w:r>
      <w:r>
        <w:t xml:space="preserve"> </w:t>
      </w:r>
      <w:r>
        <w:rPr>
          <w:rStyle w:val="VerbatimChar"/>
        </w:rPr>
        <w:t xml:space="preserve">DATASET = "upi"</w:t>
      </w:r>
      <w:r>
        <w:t xml:space="preserve"> </w:t>
      </w:r>
      <w:r>
        <w:t xml:space="preserve">in the setup cell and run all again.</w:t>
      </w:r>
    </w:p>
    <w:p>
      <w:pPr>
        <w:pStyle w:val="FirstParagraph"/>
      </w:pPr>
      <w:r>
        <w:t xml:space="preserve">Runtime is about 17 minutes from scratch on a 2-core CPU, and faster on a Colab GPU (the deep models use CUDA automatically). Expensive steps are cached in</w:t>
      </w:r>
      <w:r>
        <w:t xml:space="preserve"> </w:t>
      </w:r>
      <w:r>
        <w:rPr>
          <w:rStyle w:val="VerbatimChar"/>
        </w:rPr>
        <w:t xml:space="preserve">outputs/cache/</w:t>
      </w:r>
      <w:r>
        <w:t xml:space="preserve">; delete that folder to recompute everything. A from-scratch rerun reproduces every reported number exactly (seed 42).</w:t>
      </w:r>
    </w:p>
    <w:bookmarkEnd w:id="23"/>
    <w:bookmarkStart w:id="24" w:name="option-b-local"/>
    <w:p>
      <w:pPr>
        <w:pStyle w:val="Heading3"/>
      </w:pPr>
      <w:r>
        <w:t xml:space="preserve">Option B — local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</w:t>
      </w:r>
      <w:r>
        <w:rPr>
          <w:rStyle w:val="CommentTok"/>
        </w:rPr>
        <w:t xml:space="preserve"># Python 3.11+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VariableTok"/>
        </w:rPr>
        <w:t xml:space="preserve">FG_DATASET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creditcard </w:t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fraudguard_pipeline.ipynb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01_creditcard_executed.ipynb</w:t>
      </w:r>
      <w:r>
        <w:br/>
      </w:r>
      <w:r>
        <w:rPr>
          <w:rStyle w:val="VariableTok"/>
        </w:rPr>
        <w:t xml:space="preserve">FG_DATASET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upi        </w:t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fraudguard_pipeline.ipynb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02_upi_executed.ipynb</w:t>
      </w:r>
    </w:p>
    <w:bookmarkEnd w:id="24"/>
    <w:bookmarkStart w:id="25" w:name="the-web-app-netlify-supabase"/>
    <w:p>
      <w:pPr>
        <w:pStyle w:val="Heading3"/>
      </w:pPr>
      <w:r>
        <w:t xml:space="preserve">The web app (Netlify + Supabase)</w:t>
      </w:r>
    </w:p>
    <w:p>
      <w:pPr>
        <w:pStyle w:val="FirstParagraph"/>
      </w:pPr>
      <w:r>
        <w:t xml:space="preserve">Live at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https://calibofraudguard.netlify.app/</w:t>
        </w:r>
      </w:hyperlink>
      <w:r>
        <w:t xml:space="preserve">. Create an account (email + password), confirm the email, sign in, then switch between</w:t>
      </w:r>
      <w:r>
        <w:t xml:space="preserve"> </w:t>
      </w:r>
      <w:r>
        <w:rPr>
          <w:bCs/>
          <w:b/>
        </w:rPr>
        <w:t xml:space="preserve">Credit Card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UPI</w:t>
      </w:r>
      <w:r>
        <w:t xml:space="preserve"> </w:t>
      </w:r>
      <w:r>
        <w:t xml:space="preserve">mode at the top.</w:t>
      </w:r>
    </w:p>
    <w:p>
      <w:pPr>
        <w:pStyle w:val="BodyText"/>
      </w:pPr>
      <w:r>
        <w:t xml:space="preserve">The app in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is a static site with no build step. Scoring, exact SHAP explanations, batch CSV scoring and the policy lab all run in the browser, from the exported CatBoost models in</w:t>
      </w:r>
      <w:r>
        <w:t xml:space="preserve"> </w:t>
      </w:r>
      <w:r>
        <w:rPr>
          <w:rStyle w:val="VerbatimChar"/>
        </w:rPr>
        <w:t xml:space="preserve">web/models/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Netlify:</w:t>
      </w:r>
      <w:r>
        <w:t xml:space="preserve"> </w:t>
      </w:r>
      <w:r>
        <w:rPr>
          <w:iCs/>
          <w:i/>
        </w:rPr>
        <w:t xml:space="preserve">Add new site → Import from Git →</w:t>
      </w:r>
      <w:r>
        <w:t xml:space="preserve"> </w:t>
      </w:r>
      <w:r>
        <w:t xml:space="preserve">this repo.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already sets the publish directory to</w:t>
      </w:r>
      <w:r>
        <w:t xml:space="preserve"> </w:t>
      </w:r>
      <w:r>
        <w:rPr>
          <w:rStyle w:val="VerbatimChar"/>
        </w:rPr>
        <w:t xml:space="preserve">web</w:t>
      </w:r>
      <w:r>
        <w:t xml:space="preserve">, with no build command.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Supabase</w:t>
      </w:r>
      <w:r>
        <w:t xml:space="preserve"> </w:t>
      </w:r>
      <w:r>
        <w:t xml:space="preserve">(optional; adds the sign-in / sign-up page in front of the app, plus saving):</w:t>
      </w:r>
    </w:p>
    <w:p>
      <w:pPr>
        <w:numPr>
          <w:ilvl w:val="1"/>
          <w:numId w:val="1003"/>
        </w:numPr>
        <w:pStyle w:val="Compact"/>
      </w:pPr>
      <w:r>
        <w:t xml:space="preserve">Create a project.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SQL Editor →</w:t>
      </w:r>
      <w:r>
        <w:t xml:space="preserve"> </w:t>
      </w:r>
      <w:r>
        <w:t xml:space="preserve">paste and run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. This creates the tables, row-level security, the 50-scoring and 5-run limits, and a private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 </w:t>
      </w:r>
      <w:r>
        <w:t xml:space="preserve">storage bucket.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Authentication → Providers:</w:t>
      </w:r>
      <w:r>
        <w:t xml:space="preserve"> </w:t>
      </w:r>
      <w:r>
        <w:t xml:space="preserve">keep Email enabled (the app uses email + password only).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Authentication → URL configuration:</w:t>
      </w:r>
      <w:r>
        <w:t xml:space="preserve"> </w:t>
      </w:r>
      <w:r>
        <w:t xml:space="preserve">add your Netlify URL as Site URL and as a redirect URL.</w:t>
      </w:r>
    </w:p>
    <w:p>
      <w:pPr>
        <w:numPr>
          <w:ilvl w:val="1"/>
          <w:numId w:val="1003"/>
        </w:numPr>
        <w:pStyle w:val="Compact"/>
      </w:pPr>
      <w:r>
        <w:t xml:space="preserve">Copy the</w:t>
      </w:r>
      <w:r>
        <w:t xml:space="preserve"> </w:t>
      </w:r>
      <w:r>
        <w:rPr>
          <w:iCs/>
          <w:i/>
        </w:rPr>
        <w:t xml:space="preserve">Project URL</w:t>
      </w:r>
      <w:r>
        <w:t xml:space="preserve"> </w:t>
      </w:r>
      <w:r>
        <w:t xml:space="preserve">(the</w:t>
      </w:r>
      <w:r>
        <w:t xml:space="preserve"> </w:t>
      </w:r>
      <w:r>
        <w:rPr>
          <w:bCs/>
          <w:b/>
        </w:rPr>
        <w:t xml:space="preserve">Connect</w:t>
      </w:r>
      <w:r>
        <w:t xml:space="preserve"> </w:t>
      </w:r>
      <w:r>
        <w:t xml:space="preserve">button, or</w:t>
      </w:r>
      <w:r>
        <w:t xml:space="preserve"> </w:t>
      </w:r>
      <w:r>
        <w:rPr>
          <w:rStyle w:val="VerbatimChar"/>
        </w:rPr>
        <w:t xml:space="preserve">https://&lt;project-id&gt;.supabase.co</w:t>
      </w:r>
      <w:r>
        <w:t xml:space="preserve">) and the</w:t>
      </w:r>
      <w:r>
        <w:t xml:space="preserve"> </w:t>
      </w:r>
      <w:r>
        <w:rPr>
          <w:iCs/>
          <w:i/>
        </w:rPr>
        <w:t xml:space="preserve">anon public key</w:t>
      </w:r>
      <w:r>
        <w:t xml:space="preserve"> </w:t>
      </w:r>
      <w:r>
        <w:t xml:space="preserve">(</w:t>
      </w:r>
      <w:r>
        <w:rPr>
          <w:iCs/>
          <w:i/>
        </w:rPr>
        <w:t xml:space="preserve">Project Settings → API Keys → Legacy API keys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web/config.js</w:t>
      </w:r>
      <w:r>
        <w:t xml:space="preserve">, then commit. The anon key is designed to be public; row-level security keeps each user’s rows private.</w:t>
      </w:r>
    </w:p>
    <w:p>
      <w:pPr>
        <w:numPr>
          <w:ilvl w:val="0"/>
          <w:numId w:val="1002"/>
        </w:numPr>
        <w:pStyle w:val="Compact"/>
      </w:pPr>
      <w:r>
        <w:t xml:space="preserve">With keys, visitors see the sign-in / create-account page first and reach the app after signing in. Without keys, the app opens straight away in guest mode and everything works except saving.</w:t>
      </w:r>
    </w:p>
    <w:p>
      <w:pPr>
        <w:pStyle w:val="FirstParagraph"/>
      </w:pPr>
      <w:r>
        <w:t xml:space="preserve">The local Streamlit demo still works:</w:t>
      </w:r>
      <w:r>
        <w:t xml:space="preserve"> </w:t>
      </w:r>
      <w:r>
        <w:rPr>
          <w:rStyle w:val="VerbatimChar"/>
        </w:rPr>
        <w:t xml:space="preserve">streamlit run app/streamlit_app.py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pository-layout"/>
    <w:p>
      <w:pPr>
        <w:pStyle w:val="Heading2"/>
      </w:pPr>
      <w:r>
        <w:t xml:space="preserve">2 · Repository layout</w:t>
      </w:r>
    </w:p>
    <w:p>
      <w:pPr>
        <w:pStyle w:val="SourceCode"/>
      </w:pPr>
      <w:r>
        <w:rPr>
          <w:rStyle w:val="VerbatimChar"/>
        </w:rPr>
        <w:t xml:space="preserve">fraudguard/</w:t>
      </w:r>
      <w:r>
        <w:br/>
      </w:r>
      <w:r>
        <w:rPr>
          <w:rStyle w:val="VerbatimChar"/>
        </w:rPr>
        <w:t xml:space="preserve">├── fraudguard_pipeline.ipynb          ← single source pipeline (DATASET = creditcard | upi)</w:t>
      </w:r>
      <w:r>
        <w:br/>
      </w:r>
      <w:r>
        <w:rPr>
          <w:rStyle w:val="VerbatimChar"/>
        </w:rPr>
        <w:t xml:space="preserve">├── fraudguard_pipeline.py             ← same notebook in jupytext percent format</w:t>
      </w:r>
      <w:r>
        <w:br/>
      </w:r>
      <w:r>
        <w:rPr>
          <w:rStyle w:val="VerbatimChar"/>
        </w:rPr>
        <w:t xml:space="preserve">├── 01_creditcard_executed.ipynb       ← executed run with every output (primary)</w:t>
      </w:r>
      <w:r>
        <w:br/>
      </w:r>
      <w:r>
        <w:rPr>
          <w:rStyle w:val="VerbatimChar"/>
        </w:rPr>
        <w:t xml:space="preserve">├── 02_upi_executed.ipynb              ← executed run with every output (negative control)</w:t>
      </w:r>
      <w:r>
        <w:br/>
      </w:r>
      <w:r>
        <w:rPr>
          <w:rStyle w:val="VerbatimChar"/>
        </w:rPr>
        <w:t xml:space="preserve">├── FraudGuard_Business_Report.docx</w:t>
      </w:r>
      <w:r>
        <w:br/>
      </w:r>
      <w:r>
        <w:rPr>
          <w:rStyle w:val="VerbatimChar"/>
        </w:rPr>
        <w:t xml:space="preserve">├── FraudGuard_Model_Comparison.docx</w:t>
      </w:r>
      <w:r>
        <w:br/>
      </w:r>
      <w:r>
        <w:rPr>
          <w:rStyle w:val="VerbatimChar"/>
        </w:rPr>
        <w:t xml:space="preserve">├── FraudGuard_Cost_Analysis_and_Risk_Rule.docx</w:t>
      </w:r>
      <w:r>
        <w:br/>
      </w:r>
      <w:r>
        <w:rPr>
          <w:rStyle w:val="VerbatimChar"/>
        </w:rPr>
        <w:t xml:space="preserve">├── FraudGuard_Presentation.pptx</w:t>
      </w:r>
      <w:r>
        <w:br/>
      </w:r>
      <w:r>
        <w:rPr>
          <w:rStyle w:val="VerbatimChar"/>
        </w:rPr>
        <w:t xml:space="preserve">├── FraudGuard_README.docx</w:t>
      </w:r>
      <w:r>
        <w:br/>
      </w:r>
      <w:r>
        <w:rPr>
          <w:rStyle w:val="VerbatimChar"/>
        </w:rPr>
        <w:t xml:space="preserve">├── ARCHITECTURE.md                    ← system diagram + 6 architecture decision records</w:t>
      </w:r>
      <w:r>
        <w:br/>
      </w:r>
      <w:r>
        <w:rPr>
          <w:rStyle w:val="VerbatimChar"/>
        </w:rPr>
        <w:t xml:space="preserve">├── src/fraudguard_lib.py              ← loaders, audit, split, cost model, band search, models</w:t>
      </w:r>
      <w:r>
        <w:br/>
      </w:r>
      <w:r>
        <w:rPr>
          <w:rStyle w:val="VerbatimChar"/>
        </w:rPr>
        <w:t xml:space="preserve">├── web/                               ← web app for Netlify (HTML, JS, models, config.js)</w:t>
      </w:r>
      <w:r>
        <w:br/>
      </w:r>
      <w:r>
        <w:rPr>
          <w:rStyle w:val="VerbatimChar"/>
        </w:rPr>
        <w:t xml:space="preserve">├── supabase/schema.sql                ← tables, row-level security, limits, storage bucket</w:t>
      </w:r>
      <w:r>
        <w:br/>
      </w:r>
      <w:r>
        <w:rPr>
          <w:rStyle w:val="VerbatimChar"/>
        </w:rPr>
        <w:t xml:space="preserve">├── app/streamlit_app.py               ← local Streamlit demo</w:t>
      </w:r>
      <w:r>
        <w:br/>
      </w:r>
      <w:r>
        <w:rPr>
          <w:rStyle w:val="VerbatimChar"/>
        </w:rPr>
        <w:t xml:space="preserve">├── build/                             ← scripts that rebuild the .docx / .pptx from outputs/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│   ├── figures/{creditcard,upi}/      ← every chart</w:t>
      </w:r>
      <w:r>
        <w:br/>
      </w:r>
      <w:r>
        <w:rPr>
          <w:rStyle w:val="VerbatimChar"/>
        </w:rPr>
        <w:t xml:space="preserve">│   ├── tables/{creditcard,upi}/       ← comparison, CIs, anomaly, risk bands, audit (CSV)</w:t>
      </w:r>
      <w:r>
        <w:br/>
      </w:r>
      <w:r>
        <w:rPr>
          <w:rStyle w:val="VerbatimChar"/>
        </w:rPr>
        <w:t xml:space="preserve">│   └── summary_{creditcard,upi}.json  ← every headline number, machine-readable</w:t>
      </w:r>
      <w:r>
        <w:br/>
      </w:r>
      <w:r>
        <w:rPr>
          <w:rStyle w:val="VerbatimChar"/>
        </w:rPr>
        <w:t xml:space="preserve">├── models/fraudguard_creditcard.joblib</w:t>
      </w:r>
      <w:r>
        <w:br/>
      </w:r>
      <w:r>
        <w:rPr>
          <w:rStyle w:val="VerbatimChar"/>
        </w:rPr>
        <w:t xml:space="preserve">├── data/                              ← put the two CSVs / zips here (not committed)</w:t>
      </w:r>
      <w:r>
        <w:br/>
      </w:r>
      <w:r>
        <w:rPr>
          <w:rStyle w:val="VerbatimChar"/>
        </w:rPr>
        <w:t xml:space="preserve">├── netlify.toml · requirements.txt</w:t>
      </w:r>
    </w:p>
    <w:bookmarkEnd w:id="27"/>
    <w:bookmarkStart w:id="28" w:name="Xdb3dd2beab2c1c97ae59aa1bb471fa4695d1540"/>
    <w:p>
      <w:pPr>
        <w:pStyle w:val="Heading2"/>
      </w:pPr>
      <w:r>
        <w:t xml:space="preserve">3 · Problem statements → where they are answered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1"/>
        <w:gridCol w:w="1584"/>
        <w:gridCol w:w="3801"/>
        <w:gridCol w:w="13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 Varshitha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of missing values, duplicates, impossible amounts, timestamps, inconsistent categories and leakage columns, with the treatment of each, for both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§1,</w:t>
            </w:r>
            <w:r>
              <w:t xml:space="preserve"> </w:t>
            </w:r>
            <w:r>
              <w:rPr>
                <w:rStyle w:val="VerbatimChar"/>
              </w:rPr>
              <w:t xml:space="preserve">tables/*/data_quality_audit.csv</w:t>
            </w:r>
            <w:r>
              <w:t xml:space="preserve">, Business Report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Fraud lens and accuracy 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 Varshitha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Target, fraud rate, class counts; a do-nothing model next to the real model on accuracy, recall, precision and 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§2, §7;</w:t>
            </w:r>
            <w:r>
              <w:t xml:space="preserve"> </w:t>
            </w:r>
            <w:r>
              <w:rPr>
                <w:rStyle w:val="VerbatimChar"/>
              </w:rPr>
              <w:t xml:space="preserve">08_accuracy_trap.png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Kumara Swamy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rate by amount band, hour, bursts, zero-amount authorisations and a behaviour signature (credit card); by type, merchant, amount, hour, device and age (UPI). All with Wilson 95% CIs and χ²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Kumara Swamy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rule baselines. LR / RF / XGBoost / LightGBM × {none, class weights, SMOTE inside the pipeline}. CatBoost, Balanced RF, EasyEnsemble, Optuna-tuned LightGBM, focal-loss MLP, FT-Transformer, hybrid, soft-vote ensemble. Time-aware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§6, Model Comparison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Naishadh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Forest, ECOD, COPOD, LOF, autoencoder and DBSCAN, fitted without labels; evaluated afterwards (fraud in top 0.5 / 1 / 5%) and compared with 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Cost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Naishadh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curves, exact cost curve, threshold vs default 0.5, ₹X × ₹Y grid, ₹Z × OTP-stop grid, bootstrap 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Cost Analysis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Risk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Suman Srinivas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two-threshold search on validation; per-band counts, fraud caught, genuine customers challenged or blocked, ₹, cost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§8, Cost Analysis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Explain and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Suman Srinivas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TreeSHAP (additivity-checked), three findings → three prioritised actions,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§9, Business Report</w:t>
            </w:r>
          </w:p>
        </w:tc>
      </w:tr>
    </w:tbl>
    <w:bookmarkEnd w:id="28"/>
    <w:bookmarkStart w:id="29" w:name="X49adbc24338068f9957749a3f42f00e895d7efa"/>
    <w:p>
      <w:pPr>
        <w:pStyle w:val="Heading2"/>
      </w:pPr>
      <w:r>
        <w:t xml:space="preserve">4 · Assumptions (editable in the notebook setup cell and the app’s Policy page)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1"/>
        <w:gridCol w:w="1660"/>
        <w:gridCol w:w="4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Missed fraud (₹X)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loss + chargeback and handling; no official figure was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Genuine blocked (₹Y)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transaction margin, support call, churn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Step-up OTP (₹Z)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₹15 per challenged txn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genuine drop-off (≈5% of challenged customers × ₹300), plus SMS (well under ₹1)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 stops 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Stolen-credential and account-takeover fraud fails OTP; socially engineered victims pass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Credit-card hour of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starts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trough at 01–06h supports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Credit-card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stated by the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Rupee costs are per event, never a share of the amount</w:t>
            </w:r>
          </w:p>
        </w:tc>
      </w:tr>
    </w:tbl>
    <w:bookmarkEnd w:id="29"/>
    <w:bookmarkStart w:id="30" w:name="Xe024e8136f4ef44a484b5db6bea3925ab737f66"/>
    <w:p>
      <w:pPr>
        <w:pStyle w:val="Heading2"/>
      </w:pPr>
      <w:r>
        <w:t xml:space="preserve">5 · Guard-rails from the brief, and how the code enforces them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resampling before the split:</w:t>
      </w:r>
      <w:r>
        <w:t xml:space="preserve"> </w:t>
      </w:r>
      <w:r>
        <w:t xml:space="preserve">SMOTE exists only inside</w:t>
      </w:r>
      <w:r>
        <w:t xml:space="preserve"> </w:t>
      </w:r>
      <w:r>
        <w:rPr>
          <w:rStyle w:val="VerbatimChar"/>
        </w:rPr>
        <w:t xml:space="preserve">imblearn.Pipeline</w:t>
      </w:r>
      <w:r>
        <w:t xml:space="preserve">, fitted on train.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training or tuning on test:</w:t>
      </w:r>
    </w:p>
    <w:p>
      <w:pPr>
        <w:numPr>
          <w:ilvl w:val="1"/>
          <w:numId w:val="1005"/>
        </w:numPr>
        <w:pStyle w:val="Compact"/>
      </w:pPr>
      <w:r>
        <w:t xml:space="preserve">Optuna uses</w:t>
      </w:r>
      <w:r>
        <w:t xml:space="preserve"> </w:t>
      </w:r>
      <w:r>
        <w:rPr>
          <w:rStyle w:val="VerbatimChar"/>
        </w:rPr>
        <w:t xml:space="preserve">TimeSeriesSplit</w:t>
      </w:r>
      <w:r>
        <w:t xml:space="preserve"> </w:t>
      </w:r>
      <w:r>
        <w:t xml:space="preserve">inside train.</w:t>
      </w:r>
    </w:p>
    <w:p>
      <w:pPr>
        <w:numPr>
          <w:ilvl w:val="1"/>
          <w:numId w:val="1005"/>
        </w:numPr>
        <w:pStyle w:val="Compact"/>
      </w:pPr>
      <w:r>
        <w:t xml:space="preserve">Deep-model early stopping uses the last 15% of train.</w:t>
      </w:r>
    </w:p>
    <w:p>
      <w:pPr>
        <w:numPr>
          <w:ilvl w:val="1"/>
          <w:numId w:val="1005"/>
        </w:numPr>
        <w:pStyle w:val="Compact"/>
      </w:pPr>
      <w:r>
        <w:t xml:space="preserve">Model choice, calibration and thresholds use validation.</w:t>
      </w:r>
    </w:p>
    <w:p>
      <w:pPr>
        <w:numPr>
          <w:ilvl w:val="1"/>
          <w:numId w:val="1005"/>
        </w:numPr>
        <w:pStyle w:val="Compact"/>
      </w:pPr>
      <w:r>
        <w:t xml:space="preserve">Test is scored once.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leakage columns:</w:t>
      </w:r>
      <w:r>
        <w:t xml:space="preserve"> </w:t>
      </w:r>
      <w:r>
        <w:t xml:space="preserve">UPI</w:t>
      </w:r>
      <w:r>
        <w:t xml:space="preserve"> </w:t>
      </w:r>
      <w:r>
        <w:rPr>
          <w:rStyle w:val="VerbatimChar"/>
        </w:rPr>
        <w:t xml:space="preserve">transaction_status</w:t>
      </w:r>
      <w:r>
        <w:t xml:space="preserve"> </w:t>
      </w:r>
      <w:r>
        <w:t xml:space="preserve">(post-outcome) and the IDs are excluded. The credit-card data has none.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accuracy-only reporting:</w:t>
      </w:r>
      <w:r>
        <w:t xml:space="preserve"> </w:t>
      </w:r>
      <w:r>
        <w:t xml:space="preserve">accuracy appears only beside recall, precision, PR-AUC and ₹.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causal claims:</w:t>
      </w:r>
      <w:r>
        <w:t xml:space="preserve"> </w:t>
      </w:r>
      <w:r>
        <w:t xml:space="preserve">EDA and SHAP are described as associations.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Projections labelled:</w:t>
      </w:r>
      <w:r>
        <w:t xml:space="preserve"> </w:t>
      </w:r>
      <w:r>
        <w:t xml:space="preserve">every per-million-transaction figure is marked as a scenario estimate.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Fixed seed: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everywhere.</w:t>
      </w:r>
    </w:p>
    <w:bookmarkEnd w:id="30"/>
    <w:bookmarkStart w:id="31" w:name="notes-for-qa"/>
    <w:p>
      <w:pPr>
        <w:pStyle w:val="Heading2"/>
      </w:pPr>
      <w:r>
        <w:t xml:space="preserve">6 · Notes for Q&amp;A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 UPI is a control, not a model:</w:t>
      </w:r>
    </w:p>
    <w:p>
      <w:pPr>
        <w:numPr>
          <w:ilvl w:val="1"/>
          <w:numId w:val="1007"/>
        </w:numPr>
        <w:pStyle w:val="Compact"/>
      </w:pPr>
      <w:r>
        <w:t xml:space="preserve">None of 13 χ² tests survives correction.</w:t>
      </w:r>
    </w:p>
    <w:p>
      <w:pPr>
        <w:numPr>
          <w:ilvl w:val="1"/>
          <w:numId w:val="1007"/>
        </w:numPr>
        <w:pStyle w:val="Compact"/>
      </w:pPr>
      <w:r>
        <w:t xml:space="preserve">All 22 models score test ROC-AUC 0.47–0.54.</w:t>
      </w:r>
    </w:p>
    <w:p>
      <w:pPr>
        <w:numPr>
          <w:ilvl w:val="1"/>
          <w:numId w:val="1007"/>
        </w:numPr>
        <w:pStyle w:val="Compact"/>
      </w:pPr>
      <w:r>
        <w:t xml:space="preserve">The validation</w:t>
      </w:r>
      <w:r>
        <w:t xml:space="preserve"> </w:t>
      </w:r>
      <w:r>
        <w:t xml:space="preserve">“</w:t>
      </w:r>
      <w:r>
        <w:t xml:space="preserve">winner</w:t>
      </w:r>
      <w:r>
        <w:t xml:space="preserve">”</w:t>
      </w:r>
      <w:r>
        <w:t xml:space="preserve"> </w:t>
      </w:r>
      <w:r>
        <w:t xml:space="preserve">(p = 0.016) falls to p = 0.78 on test, which is what picking the best of 22 models on noise produces.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Ensemble members are fixed in advance:</w:t>
      </w:r>
      <w:r>
        <w:t xml:space="preserve"> </w:t>
      </w:r>
      <w:r>
        <w:t xml:space="preserve">picking the top 3 on validation and then scoring the ensemble there would be selection bias.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SMOTE vs class weights:</w:t>
      </w:r>
      <w:r>
        <w:t xml:space="preserve"> </w:t>
      </w:r>
      <w:r>
        <w:t xml:space="preserve">class weights win clearly for logistic regression (PR-AUC 0.753 vs 0.705). For tree ensembles the regimes are within noise.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Deep tabular models:</w:t>
      </w:r>
      <w:r>
        <w:t xml:space="preserve"> </w:t>
      </w:r>
      <w:r>
        <w:t xml:space="preserve">the FT-Transformer and the focal-loss MLP trail the GBDTs on validation, consistent with Grinsztajn et al. (2022).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SHAP in the app:</w:t>
      </w:r>
      <w:r>
        <w:t xml:space="preserve"> </w:t>
      </w:r>
      <w:r>
        <w:t xml:space="preserve">the browser computes exact path-dependent TreeSHAP. It matches brute-force Shapley enumeration to 2×10⁻¹⁶ and is additive to the model output. CatBoost’s built-in SHAP (used for the notebook figures) splits credit differently when a tree reuses a feature; both are exact under their own definitions.</w:t>
      </w:r>
    </w:p>
    <w:bookmarkEnd w:id="31"/>
    <w:bookmarkStart w:id="32" w:name="rebuilding-.ipynb-from-the-.py-source"/>
    <w:p>
      <w:pPr>
        <w:pStyle w:val="Heading2"/>
      </w:pPr>
      <w:r>
        <w:t xml:space="preserve">7 · Rebuilding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source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jupytext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ipynb fraudguard_pipeline.py</w:t>
      </w:r>
    </w:p>
    <w:bookmarkEnd w:id="32"/>
    <w:bookmarkStart w:id="33" w:name="X1a9d72e9abf09f48e7d13f176056c0a018dd20c"/>
    <w:p>
      <w:pPr>
        <w:pStyle w:val="Heading2"/>
      </w:pPr>
      <w:r>
        <w:t xml:space="preserve">8 · End-goal checklist (problem statement §7, §12, §13, §14)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Data-quality summary: missing values, duplicates, excluded leakage columns, justified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§1 · Business Report §3 ·</w:t>
            </w:r>
            <w:r>
              <w:t xml:space="preserve"> </w:t>
            </w:r>
            <w:r>
              <w:rPr>
                <w:rStyle w:val="VerbatimChar"/>
              </w:rPr>
              <w:t xml:space="preserve">tables/*/data_quality_audit.csv</w:t>
            </w:r>
            <w:r>
              <w:t xml:space="preserve"> </w:t>
            </w:r>
            <w:r>
              <w:t xml:space="preserve">· app Evidence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trap: do-nothing model with very high accuracy and zero recall, beside real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§2/§7 ·</w:t>
            </w:r>
            <w:r>
              <w:t xml:space="preserve"> </w:t>
            </w:r>
            <w:r>
              <w:rPr>
                <w:rStyle w:val="VerbatimChar"/>
              </w:rPr>
              <w:t xml:space="preserve">08_accuracy_trap.png</w:t>
            </w:r>
            <w:r>
              <w:t xml:space="preserve"> </w:t>
            </w:r>
            <w:r>
              <w:t xml:space="preserve">· deck slide 4 · Business Report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3 meaningful EDA fraud 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band, hour of day, bursts over time, zero amounts, behaviour signature (credit card); type, merchant, amount, hour, device, age (UPI)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3 supervised models vs a rule baseline, with and without imbalance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models + 2 rules; LR/RF/XGB/LGBM × none / class weights / SMOTE-in-pipeline · Model Comparison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detector trained without labels, evaluated afterwards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Forest, ECOD, COPOD, LOF, autoencoder, DBSCAN · fraud in top 0.5/1/5% · compared with supervised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Precision–recall curve and cost-versus-threshold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07_pr_curves.png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09_cost_threshold_confusion.png</w:t>
            </w:r>
            <w:r>
              <w:t xml:space="preserve"> </w:t>
            </w:r>
            <w:r>
              <w:t xml:space="preserve">· Cost Analysis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Risk-score rule with approve / step-up OTP / block bands, counts and costs per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§8 · Cost Analysis doc §5 ·</w:t>
            </w:r>
            <w:r>
              <w:t xml:space="preserve"> </w:t>
            </w:r>
            <w:r>
              <w:rPr>
                <w:rStyle w:val="VerbatimChar"/>
              </w:rPr>
              <w:t xml:space="preserve">tables/creditcard/risk_bands_test.csv</w:t>
            </w:r>
            <w:r>
              <w:t xml:space="preserve"> </w:t>
            </w:r>
            <w:r>
              <w:t xml:space="preserve">· app Policy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evidence-backed findings, three prioritised recommendations,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Report §9–§11 · deck slides 24,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code / notebook, runnable, fixed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fraudguard_pipeline.ipynb</w:t>
            </w:r>
            <w:r>
              <w:t xml:space="preserve"> </w:t>
            </w:r>
            <w:r>
              <w:t xml:space="preserve">+ the two executed runs (seed 42; from-scratch rerun reproduces every number)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comparison table with final selection reasoning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FraudGuard_Model_Comparison.docx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tables/*/model_comparison.csv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analysis with ₹ 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FraudGuard_Cost_Analysis_and_Risk_Rule.docx</w:t>
            </w:r>
            <w:r>
              <w:t xml:space="preserve"> </w:t>
            </w:r>
            <w:r>
              <w:t xml:space="preserve">(no official ₹ values were published; stated assumptions are used, and the Policy page and config cell recompute for any official values)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report 4–6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FraudGuard_Business_Report.docx</w:t>
            </w:r>
            <w:r>
              <w:t xml:space="preserve"> </w:t>
            </w:r>
            <w:r>
              <w:t xml:space="preserve">(6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 5–10 min incl. accuracy-trap slide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FraudGuard_Presentation.pptx</w:t>
            </w:r>
            <w:r>
              <w:t xml:space="preserve"> </w:t>
            </w:r>
            <w:r>
              <w:t xml:space="preserve">(27 slides incl. a team slide and 5 section dividers; about 10 minutes at ~2 minutes per member plus the demo; presenter named on every slide; speaker notes, transitions and animations)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README: setup, dependencies, assumptions,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file ·</w:t>
            </w:r>
            <w:r>
              <w:t xml:space="preserve"> </w:t>
            </w:r>
            <w:r>
              <w:rPr>
                <w:rStyle w:val="VerbatimChar"/>
              </w:rPr>
              <w:t xml:space="preserve">FraudGuard_README.docx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web app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https://calibofraudguard.netlify.app/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web/</w:t>
            </w:r>
            <w:r>
              <w:t xml:space="preserve">, Netlify + Supabase) · Streamlit (</w:t>
            </w:r>
            <w:r>
              <w:rPr>
                <w:rStyle w:val="VerbatimChar"/>
              </w:rPr>
              <w:t xml:space="preserve">app/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Boundaries: no accuracy-only reporting, no resampling before the split, no leakage columns, no tuning on test, no causal claims, no external data, projections labelled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above; enforced in code</w:t>
            </w:r>
          </w:p>
        </w:tc>
      </w:tr>
    </w:tbl>
    <w:bookmarkEnd w:id="33"/>
    <w:bookmarkStart w:id="34" w:name="credits"/>
    <w:p>
      <w:pPr>
        <w:pStyle w:val="Heading2"/>
      </w:pPr>
      <w:r>
        <w:t xml:space="preserve">9 · Credits</w:t>
      </w:r>
    </w:p>
    <w:p>
      <w:pPr>
        <w:pStyle w:val="FirstParagraph"/>
      </w:pPr>
      <w:r>
        <w:rPr>
          <w:bCs/>
          <w:b/>
        </w:rPr>
        <w:t xml:space="preserve">Team:</w:t>
      </w:r>
      <w:r>
        <w:t xml:space="preserve"> </w:t>
      </w:r>
      <w:r>
        <w:t xml:space="preserve">Group 8 · Matrix Mechanics — N. Varshitha, M. Kumara Swamy, V. Naishadh, M. Suman Srinivas.</w:t>
      </w:r>
    </w:p>
    <w:p>
      <w:pPr>
        <w:pStyle w:val="BodyText"/>
      </w:pPr>
      <w:r>
        <w:rPr>
          <w:bCs/>
          <w:b/>
        </w:rPr>
        <w:t xml:space="preserve">Datasets:</w:t>
      </w:r>
      <w:r>
        <w:t xml:space="preserve"> </w:t>
      </w:r>
      <w:r>
        <w:t xml:space="preserve">- ULB Machine Learning Group and Worldline,</w:t>
      </w:r>
      <w:r>
        <w:t xml:space="preserve"> </w:t>
      </w:r>
      <w:r>
        <w:rPr>
          <w:iCs/>
          <w:i/>
        </w:rPr>
        <w:t xml:space="preserve">Credit Card Fraud Detection</w:t>
      </w:r>
      <w:r>
        <w:t xml:space="preserve"> </w:t>
      </w:r>
      <w:r>
        <w:t xml:space="preserve">(Kaggle; Dal Pozzolo et al., 2015).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UPI Transactions 2024</w:t>
      </w:r>
      <w:r>
        <w:t xml:space="preserve"> </w:t>
      </w:r>
      <w:r>
        <w:t xml:space="preserve">(organiser-supplied, simulated).</w:t>
      </w:r>
    </w:p>
    <w:p>
      <w:pPr>
        <w:pStyle w:val="BodyText"/>
      </w:pPr>
      <w:r>
        <w:rPr>
          <w:bCs/>
          <w:b/>
        </w:rPr>
        <w:t xml:space="preserve">Methods:</w:t>
      </w:r>
      <w:r>
        <w:t xml:space="preserve"> </w:t>
      </w:r>
      <w:r>
        <w:t xml:space="preserve">Chawla et al. 2002 (SMOTE) · Liu et al. 2008 (Isolation Forest) · Lin et al. 2017 (focal loss) · Lundberg &amp; Lee 2017; Lundberg et al. 2020 (SHAP/TreeSHAP) · Li et al. 2020 (COPOD) · Gorishniy et al. 2021 (FT-Transformer) · Li et al. 2022 (ECOD) · Grinsztajn et al. 2022.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  <w:szCs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sz w:val="16"/>
      <w:szCs w:val="16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alibofraudguard.netlify.app/" TargetMode="External" /><Relationship Type="http://schemas.openxmlformats.org/officeDocument/2006/relationships/hyperlink" Id="rId21" Target="https://github.com/naishadhvytla/hackathon01calib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alibofraudguard.netlify.app/" TargetMode="External" /><Relationship Type="http://schemas.openxmlformats.org/officeDocument/2006/relationships/hyperlink" Id="rId21" Target="https://github.com/naishadhvytla/hackathon01calib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FraudGuard — Real-Time Payment Fraud Decision System</dc:title>
  <dc:creator/>
  <cp:keywords/>
  <dcterms:created xsi:type="dcterms:W3CDTF">2026-10-31T12:21:07Z</dcterms:created>
  <dcterms:modified xsi:type="dcterms:W3CDTF">2026-10-31T12:21:07Z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