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REMNANT</w:t>
      </w:r>
    </w:p>
    <w:p>
      <w:pPr>
        <w:spacing w:after="120" w:before="0"/>
        <w:jc w:val="center"/>
      </w:pPr>
      <w:r>
        <w:rPr>
          <w:rFonts w:ascii="Arial" w:cs="Arial" w:eastAsia="Arial" w:hAnsi="Arial"/>
          <w:i/>
          <w:iCs/>
          <w:color w:val="595959"/>
          <w:sz w:val="28"/>
          <w:szCs w:val="28"/>
        </w:rPr>
        <w:t xml:space="preserve">Sonic traces of a non-human world</w:t>
      </w:r>
    </w:p>
    <w:p>
      <w:pPr>
        <w:pBdr>
          <w:bottom w:val="single" w:color="DDDDDD" w:sz="6" w:space="1"/>
        </w:pBdr>
        <w:spacing w:after="240" w:before="240"/>
      </w:pPr>
    </w:p>
    <w:p>
      <w:pPr>
        <w:spacing w:after="80" w:before="80"/>
        <w:jc w:val="center"/>
      </w:pPr>
      <w:r>
        <w:rPr>
          <w:rFonts w:ascii="Arial" w:cs="Arial" w:eastAsia="Arial" w:hAnsi="Arial"/>
          <w:color w:val="595959"/>
          <w:sz w:val="22"/>
          <w:szCs w:val="22"/>
        </w:rPr>
        <w:t xml:space="preserve">Theoretical and Technical Notes</w:t>
      </w:r>
    </w:p>
    <w:p>
      <w:pPr>
        <w:spacing w:after="2880" w:before="80"/>
        <w:jc w:val="center"/>
      </w:pPr>
      <w:r>
        <w:rPr>
          <w:rFonts w:ascii="Arial" w:cs="Arial" w:eastAsia="Arial" w:hAnsi="Arial"/>
          <w:color w:val="595959"/>
          <w:sz w:val="22"/>
          <w:szCs w:val="22"/>
        </w:rPr>
        <w:t xml:space="preserve">v4  —  2025–2026</w:t>
      </w:r>
    </w:p>
    <w:p>
      <w:pPr>
        <w:pStyle w:val="Heading1"/>
        <w:spacing w:after="160" w:before="480"/>
      </w:pPr>
      <w:r>
        <w:rPr>
          <w:rFonts w:ascii="Arial" w:cs="Arial" w:eastAsia="Arial" w:hAnsi="Arial"/>
          <w:b/>
          <w:bCs/>
          <w:color w:val="1F4E79"/>
          <w:sz w:val="32"/>
          <w:szCs w:val="32"/>
        </w:rPr>
        <w:t xml:space="preserve">0. System Overview</w:t>
      </w:r>
    </w:p>
    <w:p>
      <w:pPr>
        <w:spacing w:after="160" w:before="0"/>
      </w:pPr>
      <w:r>
        <w:rPr>
          <w:rFonts w:ascii="Arial" w:cs="Arial" w:eastAsia="Arial" w:hAnsi="Arial"/>
          <w:color w:val="000000"/>
          <w:sz w:val="22"/>
          <w:szCs w:val="22"/>
        </w:rPr>
        <w:t xml:space="preserve">Remnant is a multichannel acousmatic composition and live electronics system for orchestra and 8-channel octophonic diffusion. The project emerges from a biocentric perspective on the Anthropocene: instrumental sounds are treated as traces of a world that continues to exist independently of human presence.</w:t>
      </w:r>
    </w:p>
    <w:p>
      <w:pPr>
        <w:spacing w:after="160" w:before="0"/>
      </w:pPr>
      <w:r>
        <w:rPr>
          <w:rFonts w:ascii="Arial" w:cs="Arial" w:eastAsia="Arial" w:hAnsi="Arial"/>
          <w:color w:val="000000"/>
          <w:sz w:val="22"/>
          <w:szCs w:val="22"/>
        </w:rPr>
        <w:t xml:space="preserve">The compositional engine navigates orchestral timbral space through Brownian motion in a UMAP space constructed from the ConTimbre corpus. In performance, the electronics listen to the orchestra in real time, transforming its signal through a masking pipeline derived from Lerdahl's timbral hierarchy.</w:t>
      </w:r>
    </w:p>
    <w:p>
      <w:pPr>
        <w:spacing w:after="160" w:before="0"/>
      </w:pPr>
      <w:r>
        <w:rPr>
          <w:rFonts w:ascii="Arial" w:cs="Arial" w:eastAsia="Arial" w:hAnsi="Arial"/>
          <w:color w:val="000000"/>
          <w:sz w:val="22"/>
          <w:szCs w:val="22"/>
        </w:rPr>
        <w:t xml:space="preserve">The project integrates in a single architecture: probabilistic timbral selection (Brownian motion in UMAP space), temporal directions (Thoresen's Dynamic Forms), timbral tension (Lerdahl's hierarchy), the living present (Husserlian phenomenology implemented in SuperCollider), real-time spectral analysis (FluCoMa), and hierarchical proportional notation for OpenMusic (Ferneyhough system).</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1. Timbral Space</w:t>
      </w:r>
    </w:p>
    <w:p>
      <w:pPr>
        <w:pStyle w:val="Heading2"/>
        <w:spacing w:after="120" w:before="320"/>
      </w:pPr>
      <w:r>
        <w:rPr>
          <w:rFonts w:ascii="Arial" w:cs="Arial" w:eastAsia="Arial" w:hAnsi="Arial"/>
          <w:b/>
          <w:bCs/>
          <w:color w:val="595959"/>
          <w:sz w:val="26"/>
          <w:szCs w:val="26"/>
        </w:rPr>
        <w:t xml:space="preserve">1.1  Corpus and dimensionality reduction</w:t>
      </w:r>
    </w:p>
    <w:p>
      <w:pPr>
        <w:spacing w:after="160" w:before="0"/>
      </w:pPr>
      <w:r>
        <w:rPr>
          <w:rFonts w:ascii="Arial" w:cs="Arial" w:eastAsia="Arial" w:hAnsi="Arial"/>
          <w:color w:val="000000"/>
          <w:sz w:val="22"/>
          <w:szCs w:val="22"/>
        </w:rPr>
        <w:t xml:space="preserve">The base corpus is ConTimbre Standard V2 (Thomas Grill, 2023), documenting extended techniques for symphony orchestra with acoustic descriptors per sound. Dimensionality reduction uses UMAP with McAdams perceptual weighting (1993, 1999), reflecting the known perceptual saliency ordering of timbral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Descriptor</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McAdams weight</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Perceptual role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spectral_center</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Primary dimension: brightness</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spectral_complexity</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Second dimension: roughness/density</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pitch</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Relevant but secondary to timbre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dynamic_num, duration, intensity</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Supporting dimensions</w:t>
            </w:r>
          </w:p>
        </w:tc>
      </w:tr>
    </w:tbl>
    <w:p>
      <w:pPr>
        <w:spacing w:after="0" w:before="80"/>
      </w:pPr>
    </w:p>
    <w:p>
      <w:pPr>
        <w:spacing w:after="160" w:before="0"/>
      </w:pPr>
      <w:r>
        <w:rPr>
          <w:rFonts w:ascii="Arial" w:cs="Arial" w:eastAsia="Arial" w:hAnsi="Arial"/>
          <w:color w:val="000000"/>
          <w:sz w:val="22"/>
          <w:szCs w:val="22"/>
        </w:rPr>
        <w:t xml:space="preserve">The resulting UMAP plane constitutes a perceptual map of the corpus: sounds close in this space share spectral qualities. Brownian motion through this space is therefore a traversal of timbral morphology, not a random sample selection. The UMAP model is serialised (umap_model.pkl, umap_scaler.pkl) to enable projection of external audio files into the existing timbral space, following an approach analogous to Orchidea (Cella, Burred) and MaxOrch.</w:t>
      </w:r>
    </w:p>
    <w:p>
      <w:pPr>
        <w:pStyle w:val="Heading2"/>
        <w:spacing w:after="120" w:before="320"/>
      </w:pPr>
      <w:r>
        <w:rPr>
          <w:rFonts w:ascii="Arial" w:cs="Arial" w:eastAsia="Arial" w:hAnsi="Arial"/>
          <w:b/>
          <w:bCs/>
          <w:color w:val="595959"/>
          <w:sz w:val="26"/>
          <w:szCs w:val="26"/>
        </w:rPr>
        <w:t xml:space="preserve">1.2  Lerdahl's timbral hierarchy</w:t>
      </w:r>
    </w:p>
    <w:p>
      <w:pPr>
        <w:spacing w:after="160" w:before="0"/>
      </w:pPr>
      <w:r>
        <w:rPr>
          <w:rFonts w:ascii="Arial" w:cs="Arial" w:eastAsia="Arial" w:hAnsi="Arial"/>
          <w:color w:val="000000"/>
          <w:sz w:val="22"/>
          <w:szCs w:val="22"/>
        </w:rPr>
        <w:t xml:space="preserve">Timbral tension follows the hierarchy proposed by Lerdahl (2001) in Tonal Pitch Space, adapted to the timbral domain: a sound's distance from the stable region of UMAP space is proportional to perceived timbral tension. Field tension is Brownian volatility normalised over [0, 1].</w:t>
      </w:r>
    </w:p>
    <w:p>
      <w:pPr>
        <w:spacing w:after="160" w:before="0"/>
      </w:pPr>
      <w:r>
        <w:rPr>
          <w:rFonts w:ascii="Arial" w:cs="Arial" w:eastAsia="Arial" w:hAnsi="Arial"/>
          <w:color w:val="000000"/>
          <w:sz w:val="22"/>
          <w:szCs w:val="22"/>
        </w:rPr>
        <w:t xml:space="preserve">The entire signal processing chain — pitch shift, convolution, frequency shift, band-pass filter — is parametrised by this scalar. At tension 1.0 the source is completely masked and unrecognisable. The dry source is not mixed with the processed signal; it is progressively substituted: dry = (1 − tension)^1.5.</w:t>
      </w:r>
    </w:p>
    <w:p>
      <w:pPr>
        <w:pStyle w:val="Heading2"/>
        <w:spacing w:after="120" w:before="320"/>
      </w:pPr>
      <w:r>
        <w:rPr>
          <w:rFonts w:ascii="Arial" w:cs="Arial" w:eastAsia="Arial" w:hAnsi="Arial"/>
          <w:b/>
          <w:bCs/>
          <w:color w:val="595959"/>
          <w:sz w:val="26"/>
          <w:szCs w:val="26"/>
        </w:rPr>
        <w:t xml:space="preserve">1.3  Sound image selection</w:t>
      </w:r>
    </w:p>
    <w:p>
      <w:pPr>
        <w:spacing w:after="160" w:before="0"/>
      </w:pPr>
      <w:r>
        <w:rPr>
          <w:rFonts w:ascii="Arial" w:cs="Arial" w:eastAsia="Arial" w:hAnsi="Arial"/>
          <w:color w:val="000000"/>
          <w:sz w:val="22"/>
          <w:szCs w:val="22"/>
        </w:rPr>
        <w:t xml:space="preserve">As an alternative to free Brownian motion, the composer may define a target sound image using four perceptual sliders (centroid, texture, pitch, dynamics) and a Breadth parameter controlling the corpus fraction selected. The system selects the N closest sounds by McAdams-weighted Euclidean distance:</w:t>
      </w:r>
    </w:p>
    <w:p>
      <w:pPr>
        <w:spacing w:after="60" w:before="60"/>
        <w:ind w:left="720"/>
      </w:pPr>
      <w:r>
        <w:rPr>
          <w:rFonts w:ascii="Courier New" w:cs="Courier New" w:eastAsia="Courier New" w:hAnsi="Courier New"/>
          <w:color w:val="1F4E79"/>
          <w:sz w:val="20"/>
          <w:szCs w:val="20"/>
        </w:rPr>
        <w:t xml:space="preserve">d = Σ W[k] × (descriptor[k] − target[k])²  /  Σ W[k]</w:t>
      </w:r>
    </w:p>
    <w:p>
      <w:pPr>
        <w:spacing w:after="160" w:before="0"/>
      </w:pPr>
      <w:r>
        <w:rPr>
          <w:rFonts w:ascii="Arial" w:cs="Arial" w:eastAsia="Arial" w:hAnsi="Arial"/>
          <w:color w:val="000000"/>
          <w:sz w:val="22"/>
          <w:szCs w:val="22"/>
        </w:rPr>
        <w:t xml:space="preserve">The target may be replaced by an external audio file (Orchidea/MaxOrch approach): spectral feature extraction via librosa, McAdams normalisation, projection into the UMAP plane via umap_model.transform(). The resulting coordinates replace the Dynamic Form centroid as Brownian attractor.</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2. Brownian Motion</w:t>
      </w:r>
    </w:p>
    <w:p>
      <w:pPr>
        <w:pStyle w:val="Heading2"/>
        <w:spacing w:after="120" w:before="320"/>
      </w:pPr>
      <w:r>
        <w:rPr>
          <w:rFonts w:ascii="Arial" w:cs="Arial" w:eastAsia="Arial" w:hAnsi="Arial"/>
          <w:b/>
          <w:bCs/>
          <w:color w:val="595959"/>
          <w:sz w:val="26"/>
          <w:szCs w:val="26"/>
        </w:rPr>
        <w:t xml:space="preserve">2.1  Path and temporal distribution</w:t>
      </w:r>
    </w:p>
    <w:p>
      <w:pPr>
        <w:spacing w:after="160" w:before="0"/>
      </w:pPr>
      <w:r>
        <w:rPr>
          <w:rFonts w:ascii="Arial" w:cs="Arial" w:eastAsia="Arial" w:hAnsi="Arial"/>
          <w:color w:val="000000"/>
          <w:sz w:val="22"/>
          <w:szCs w:val="22"/>
        </w:rPr>
        <w:t xml:space="preserve">Each field is an independent Brownian path in UMAP space. At each step the path moves by a random vector with a drift component (dx, dy) and a stochastic component scaled by current volatility:</w:t>
      </w:r>
    </w:p>
    <w:p>
      <w:pPr>
        <w:spacing w:after="60" w:before="60"/>
        <w:ind w:left="720"/>
      </w:pPr>
      <w:r>
        <w:rPr>
          <w:rFonts w:ascii="Courier New" w:cs="Courier New" w:eastAsia="Courier New" w:hAnsi="Courier New"/>
          <w:color w:val="1F4E79"/>
          <w:sz w:val="20"/>
          <w:szCs w:val="20"/>
        </w:rPr>
        <w:t xml:space="preserve">x_{n+1} = clip(x_n + dx + attraction·(x_attr − x_n) + volatility·U(−1,1))</w:t>
      </w:r>
    </w:p>
    <w:p>
      <w:pPr>
        <w:spacing w:after="160" w:before="0"/>
      </w:pPr>
      <w:r>
        <w:rPr>
          <w:rFonts w:ascii="Arial" w:cs="Arial" w:eastAsia="Arial" w:hAnsi="Arial"/>
          <w:color w:val="000000"/>
          <w:sz w:val="22"/>
          <w:szCs w:val="22"/>
        </w:rPr>
        <w:t xml:space="preserve">Inter-step Euclidean distances in UMAP space become temporal proportions via cumulative integration: each event's temporal position is t_frac = cum_dist / total_dist, mapped onto the gesture duration. Geometrically long steps — indicating large timbral displacement — receive proportionally more time; short steps indicate local timbral stability.</w:t>
      </w:r>
    </w:p>
    <w:p>
      <w:pPr>
        <w:spacing w:after="160" w:before="0"/>
      </w:pPr>
      <w:r>
        <w:rPr>
          <w:rFonts w:ascii="Arial" w:cs="Arial" w:eastAsia="Arial" w:hAnsi="Arial"/>
          <w:color w:val="000000"/>
          <w:sz w:val="22"/>
          <w:szCs w:val="22"/>
        </w:rPr>
        <w:t xml:space="preserve">Rhythm thus emerges from the geometry of timbral traversal rather than being imposed as an independent parameter. This constitutes a principled correspondence between timbral and temporal structures: the rhythmic figure is a consequence of the timbral morphology, not its precondition.</w:t>
      </w:r>
    </w:p>
    <w:p>
      <w:pPr>
        <w:spacing w:after="160" w:before="0"/>
      </w:pPr>
      <w:r>
        <w:rPr>
          <w:rFonts w:ascii="Arial" w:cs="Arial" w:eastAsia="Arial" w:hAnsi="Arial"/>
          <w:color w:val="000000"/>
          <w:sz w:val="22"/>
          <w:szCs w:val="22"/>
        </w:rPr>
        <w:t xml:space="preserve">Stochastic parameters (volatility, drift) evolve between gestures via a diffusion process: each parameter accumulates a random increment scaled by drift_noise. This guarantees processual continuity across gestures without determinism.</w:t>
      </w:r>
    </w:p>
    <w:p>
      <w:pPr>
        <w:pStyle w:val="Heading2"/>
        <w:spacing w:after="120" w:before="320"/>
      </w:pPr>
      <w:r>
        <w:rPr>
          <w:rFonts w:ascii="Arial" w:cs="Arial" w:eastAsia="Arial" w:hAnsi="Arial"/>
          <w:b/>
          <w:bCs/>
          <w:color w:val="595959"/>
          <w:sz w:val="26"/>
          <w:szCs w:val="26"/>
        </w:rPr>
        <w:t xml:space="preserve">2.2  Attractors</w:t>
      </w:r>
    </w:p>
    <w:p>
      <w:pPr>
        <w:spacing w:after="160" w:before="0"/>
      </w:pPr>
      <w:r>
        <w:rPr>
          <w:rFonts w:ascii="Arial" w:cs="Arial" w:eastAsia="Arial" w:hAnsi="Arial"/>
          <w:color w:val="000000"/>
          <w:sz w:val="22"/>
          <w:szCs w:val="22"/>
        </w:rPr>
        <w:t xml:space="preserve">The Brownian path is attracted toward a centroid in UMAP space with a parametrisable attraction force. Two attractor types are supported:</w:t>
      </w:r>
    </w:p>
    <w:p>
      <w:pPr>
        <w:pStyle w:val="ListParagraph"/>
        <w:numPr>
          <w:ilvl w:val="0"/>
          <w:numId w:val="2"/>
        </w:numPr>
        <w:spacing w:after="40" w:before="40"/>
      </w:pPr>
      <w:r>
        <w:rPr>
          <w:rFonts w:ascii="Arial" w:cs="Arial" w:eastAsia="Arial" w:hAnsi="Arial"/>
          <w:sz w:val="22"/>
          <w:szCs w:val="22"/>
        </w:rPr>
        <w:t xml:space="preserve">Dynamic Form (Thoresen): the centroid is computed as the mean of UMAP coordinates of all sounds belonging to the Lachenmann category corresponding to the field's assigned direction.</w:t>
      </w:r>
    </w:p>
    <w:p>
      <w:pPr>
        <w:pStyle w:val="ListParagraph"/>
        <w:numPr>
          <w:ilvl w:val="0"/>
          <w:numId w:val="2"/>
        </w:numPr>
        <w:spacing w:after="40" w:before="40"/>
      </w:pPr>
      <w:r>
        <w:rPr>
          <w:rFonts w:ascii="Arial" w:cs="Arial" w:eastAsia="Arial" w:hAnsi="Arial"/>
          <w:sz w:val="22"/>
          <w:szCs w:val="22"/>
        </w:rPr>
        <w:t xml:space="preserve">Target audio (Orchidea-style): an external audio file is projected into the UMAP plane; its coordinates replace the Dynamic Form centroid.</w:t>
      </w:r>
    </w:p>
    <w:p>
      <w:pPr>
        <w:pStyle w:val="Heading2"/>
        <w:spacing w:after="120" w:before="320"/>
      </w:pPr>
      <w:r>
        <w:rPr>
          <w:rFonts w:ascii="Arial" w:cs="Arial" w:eastAsia="Arial" w:hAnsi="Arial"/>
          <w:b/>
          <w:bCs/>
          <w:color w:val="595959"/>
          <w:sz w:val="26"/>
          <w:szCs w:val="26"/>
        </w:rPr>
        <w:t xml:space="preserve">2.3  Per-step tension profile</w:t>
      </w:r>
    </w:p>
    <w:p>
      <w:pPr>
        <w:spacing w:after="160" w:before="0"/>
      </w:pPr>
      <w:r>
        <w:rPr>
          <w:rFonts w:ascii="Arial" w:cs="Arial" w:eastAsia="Arial" w:hAnsi="Arial"/>
          <w:color w:val="000000"/>
          <w:sz w:val="22"/>
          <w:szCs w:val="22"/>
        </w:rPr>
        <w:t xml:space="preserve">Each path step is associated with a scalar tension value computed by compute_tension_profile, dependent on the Dynamic Form assigned to the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Tension formula</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Morphological profile</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Rising: accumulation toward climax</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1.0 − 0.8·t_rel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Falling: dissolution, deceleration</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 + 0.10·sin(π·t_rel)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Stable with slight arch</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dist / (xrange·0.3)</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From Brownian Euclidean distance</w:t>
            </w:r>
          </w:p>
        </w:tc>
      </w:tr>
    </w:tbl>
    <w:p>
      <w:pPr>
        <w:spacing w:after="0" w:before="80"/>
      </w:pPr>
    </w:p>
    <w:p>
      <w:pPr>
        <w:spacing w:after="160" w:before="0"/>
      </w:pPr>
      <w:r>
        <w:rPr>
          <w:rFonts w:ascii="Arial" w:cs="Arial" w:eastAsia="Arial" w:hAnsi="Arial"/>
          <w:color w:val="000000"/>
          <w:sz w:val="22"/>
          <w:szCs w:val="22"/>
        </w:rPr>
        <w:t xml:space="preserve">This scalar profile simultaneously controls the signal processing pipeline in SuperCollider, the Level 3 rhythmic sub-subdivision in the RTM export, and the dynamic notation in the graphic score — establishing a structural correspondence across compositional, computational, and notational domains.</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3. Dynamic Form (Thoresen)</w:t>
      </w:r>
    </w:p>
    <w:p>
      <w:pPr>
        <w:spacing w:after="160" w:before="0"/>
      </w:pPr>
      <w:r>
        <w:rPr>
          <w:rFonts w:ascii="Arial" w:cs="Arial" w:eastAsia="Arial" w:hAnsi="Arial"/>
          <w:color w:val="000000"/>
          <w:sz w:val="22"/>
          <w:szCs w:val="22"/>
        </w:rPr>
        <w:t xml:space="preserve">Thoresen's Dynamic Forms (Aural Sonology, ch. 8) describe the fundamental tension-release modes of musical sound as intrinsic temporal directions: Forward (projection, accumulation), Backward (gathering, deceleration), Presence (stable presence, circularity), Neutral (undifferentiated). These categories originate in Langer's philosophy of symbolic form and are developed by Thoresen into an operational analytical framework for sounding music.</w:t>
      </w:r>
    </w:p>
    <w:p>
      <w:pPr>
        <w:spacing w:after="160" w:before="0"/>
      </w:pPr>
      <w:r>
        <w:rPr>
          <w:rFonts w:ascii="Arial" w:cs="Arial" w:eastAsia="Arial" w:hAnsi="Arial"/>
          <w:color w:val="000000"/>
          <w:sz w:val="22"/>
          <w:szCs w:val="22"/>
        </w:rPr>
        <w:t xml:space="preserve">In Remnant, each direction determines: (a) the Brownian attractor in UMAP space; (b) the per-step tension profile; (c) the predominant Lachenmann category as a function of tension level. The correspondence is not arbitrary: it reflects a coherent morphological logic in which timbral category and temporal direction share structural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UMAP attractor</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Low tension (&lt;0.7)</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High tension (≥0.7)</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Kadenz/Textur centroid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Farbklang/Geräusch centroid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Klang/Stille centroid</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Brownian volatility</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4. Pulse Grid and RTM Notation</w:t>
      </w:r>
    </w:p>
    <w:p>
      <w:pPr>
        <w:pStyle w:val="Heading2"/>
        <w:spacing w:after="120" w:before="320"/>
      </w:pPr>
      <w:r>
        <w:rPr>
          <w:rFonts w:ascii="Arial" w:cs="Arial" w:eastAsia="Arial" w:hAnsi="Arial"/>
          <w:b/>
          <w:bCs/>
          <w:color w:val="595959"/>
          <w:sz w:val="26"/>
          <w:szCs w:val="26"/>
        </w:rPr>
        <w:t xml:space="preserve">4.1  Grid in the graphic score</w:t>
      </w:r>
    </w:p>
    <w:p>
      <w:pPr>
        <w:spacing w:after="160" w:before="0"/>
      </w:pPr>
      <w:r>
        <w:rPr>
          <w:rFonts w:ascii="Arial" w:cs="Arial" w:eastAsia="Arial" w:hAnsi="Arial"/>
          <w:color w:val="000000"/>
          <w:sz w:val="22"/>
          <w:szCs w:val="22"/>
        </w:rPr>
        <w:t xml:space="preserve">The pulse grid encodes Brownian inter-step Euclidean distances as binary rational fractions (denominator ≤8, Ferneyhough system). Each cell carries its own local BPM derived from the per-step tension value: BPM = 40 + tension × 80, snapped to the discrete grid [40, 48, 60, 72, 80, 96, 120].</w:t>
      </w:r>
    </w:p>
    <w:p>
      <w:pPr>
        <w:spacing w:after="160" w:before="0"/>
      </w:pPr>
      <w:r>
        <w:rPr>
          <w:rFonts w:ascii="Arial" w:cs="Arial" w:eastAsia="Arial" w:hAnsi="Arial"/>
          <w:color w:val="000000"/>
          <w:sz w:val="22"/>
          <w:szCs w:val="22"/>
        </w:rPr>
        <w:t xml:space="preserve">The governing principle is the invariance of absolute durations in seconds: local BPM is a gestural and interpretive indication, not a metric constraint. This follows Ferneyhough's principle of absolute duration invariance across tempo changes, in which irregular time signatures and local BPM values serve to articulate the proportional structure of the material rather than imposing an external metrical grid.</w:t>
      </w:r>
    </w:p>
    <w:p>
      <w:pPr>
        <w:pStyle w:val="Heading2"/>
        <w:spacing w:after="120" w:before="320"/>
      </w:pPr>
      <w:r>
        <w:rPr>
          <w:rFonts w:ascii="Arial" w:cs="Arial" w:eastAsia="Arial" w:hAnsi="Arial"/>
          <w:b/>
          <w:bCs/>
          <w:color w:val="595959"/>
          <w:sz w:val="26"/>
          <w:szCs w:val="26"/>
        </w:rPr>
        <w:t xml:space="preserve">4.2  RTM export for OpenMusic</w:t>
      </w:r>
    </w:p>
    <w:p>
      <w:pPr>
        <w:spacing w:after="160" w:before="0"/>
      </w:pPr>
      <w:r>
        <w:rPr>
          <w:rFonts w:ascii="Arial" w:cs="Arial" w:eastAsia="Arial" w:hAnsi="Arial"/>
          <w:color w:val="000000"/>
          <w:sz w:val="22"/>
          <w:szCs w:val="22"/>
        </w:rPr>
        <w:t xml:space="preserve">The Export RTM for OpenMusic function generates scores/rtm_ferneyhough.lisp — a three-level hierarchical rhythm tree for each field in the native format of OpenMusic 8's voice class. The architecture implements Ferneyhough's principle of absolute duration invariance through irregular time signatures with local BPM values.</w:t>
      </w:r>
    </w:p>
    <w:p>
      <w:pPr>
        <w:spacing w:after="80" w:before="240"/>
      </w:pPr>
      <w:r>
        <w:rPr>
          <w:rFonts w:ascii="Arial" w:cs="Arial" w:eastAsia="Arial" w:hAnsi="Arial"/>
          <w:b/>
          <w:bCs/>
          <w:sz w:val="22"/>
          <w:szCs w:val="22"/>
        </w:rPr>
        <w:t xml:space="preserve">Level 1 — Time signature</w:t>
      </w:r>
    </w:p>
    <w:p>
      <w:pPr>
        <w:spacing w:after="160" w:before="0"/>
      </w:pPr>
      <w:r>
        <w:rPr>
          <w:rFonts w:ascii="Arial" w:cs="Arial" w:eastAsia="Arial" w:hAnsi="Arial"/>
          <w:color w:val="000000"/>
          <w:sz w:val="22"/>
          <w:szCs w:val="22"/>
        </w:rPr>
        <w:t xml:space="preserve">Each Brownian cell becomes a measure with time signature (n d), d ∈ {2, 4, 8, 16}, n ∈ [1, 16]. The signature is selected to minimise the deviation from the gesture's global BPM:</w:t>
      </w:r>
    </w:p>
    <w:p>
      <w:pPr>
        <w:spacing w:after="60" w:before="60"/>
        <w:ind w:left="720"/>
      </w:pPr>
      <w:r>
        <w:rPr>
          <w:rFonts w:ascii="Courier New" w:cs="Courier New" w:eastAsia="Courier New" w:hAnsi="Courier New"/>
          <w:color w:val="1F4E79"/>
          <w:sz w:val="20"/>
          <w:szCs w:val="20"/>
        </w:rPr>
        <w:t xml:space="preserve">bpm_local = 240 × n / (cell_dur_sec × d)</w:t>
      </w:r>
    </w:p>
    <w:p>
      <w:pPr>
        <w:spacing w:after="160" w:before="0"/>
      </w:pPr>
      <w:r>
        <w:rPr>
          <w:rFonts w:ascii="Arial" w:cs="Arial" w:eastAsia="Arial" w:hAnsi="Arial"/>
          <w:color w:val="000000"/>
          <w:sz w:val="22"/>
          <w:szCs w:val="22"/>
        </w:rPr>
        <w:t xml:space="preserve">Each cell's absolute duration is proportional to its cumulative Euclidean distance relative to the gesture's total distance: cell_dur = (cell_dist / total_dist) × g_dur. Partitioning uses a cumulative threshold (midpoint rule): each step is assigned to the cell where its midpoint falls. Empty cells become rests (-1).</w:t>
      </w:r>
    </w:p>
    <w:p>
      <w:pPr>
        <w:spacing w:after="80" w:before="240"/>
      </w:pPr>
      <w:r>
        <w:rPr>
          <w:rFonts w:ascii="Arial" w:cs="Arial" w:eastAsia="Arial" w:hAnsi="Arial"/>
          <w:b/>
          <w:bCs/>
          <w:sz w:val="22"/>
          <w:szCs w:val="22"/>
        </w:rPr>
        <w:t xml:space="preserve">Level 2 — Measure subdivision</w:t>
      </w:r>
    </w:p>
    <w:p>
      <w:pPr>
        <w:spacing w:after="160" w:before="0"/>
      </w:pPr>
      <w:r>
        <w:rPr>
          <w:rFonts w:ascii="Arial" w:cs="Arial" w:eastAsia="Arial" w:hAnsi="Arial"/>
          <w:color w:val="000000"/>
          <w:sz w:val="22"/>
          <w:szCs w:val="22"/>
        </w:rPr>
        <w:t xml:space="preserve">Brownian steps within a cell are weighted proportionally to their Euclidean distances and quantised with denominator ≤8. Exact sum is guaranteed by rounding-error distribution (Stern-Brocot-inspired algorithm).</w:t>
      </w:r>
    </w:p>
    <w:p>
      <w:pPr>
        <w:spacing w:after="80" w:before="240"/>
      </w:pPr>
      <w:r>
        <w:rPr>
          <w:rFonts w:ascii="Arial" w:cs="Arial" w:eastAsia="Arial" w:hAnsi="Arial"/>
          <w:b/>
          <w:bCs/>
          <w:sz w:val="22"/>
          <w:szCs w:val="22"/>
        </w:rPr>
        <w:t xml:space="preserve">Level 3 — Sub-subdivision from tension</w:t>
      </w:r>
    </w:p>
    <w:p>
      <w:pPr>
        <w:spacing w:after="160" w:before="0"/>
      </w:pPr>
      <w:r>
        <w:rPr>
          <w:rFonts w:ascii="Arial" w:cs="Arial" w:eastAsia="Arial" w:hAnsi="Arial"/>
          <w:color w:val="000000"/>
          <w:sz w:val="22"/>
          <w:szCs w:val="22"/>
        </w:rPr>
        <w:t xml:space="preserve">Each step is further subdivided internally according to its tension_profile value. Rhythmic irregularity increases monotonically with tension, establishing a structural correspondence between timbral density and rhythmic complexity:</w:t>
      </w:r>
    </w:p>
    <w:p>
      <w:pPr>
        <w:pStyle w:val="ListParagraph"/>
        <w:numPr>
          <w:ilvl w:val="0"/>
          <w:numId w:val="2"/>
        </w:numPr>
        <w:spacing w:after="40" w:before="40"/>
      </w:pPr>
      <w:r>
        <w:rPr>
          <w:rFonts w:ascii="Arial" w:cs="Arial" w:eastAsia="Arial" w:hAnsi="Arial"/>
          <w:sz w:val="22"/>
          <w:szCs w:val="22"/>
        </w:rPr>
        <w:t xml:space="preserve">tension ≤0.25: whole note, no subdivision</w:t>
      </w:r>
    </w:p>
    <w:p>
      <w:pPr>
        <w:pStyle w:val="ListParagraph"/>
        <w:numPr>
          <w:ilvl w:val="0"/>
          <w:numId w:val="2"/>
        </w:numPr>
        <w:spacing w:after="40" w:before="40"/>
      </w:pPr>
      <w:r>
        <w:rPr>
          <w:rFonts w:ascii="Arial" w:cs="Arial" w:eastAsia="Arial" w:hAnsi="Arial"/>
          <w:sz w:val="22"/>
          <w:szCs w:val="22"/>
        </w:rPr>
        <w:t xml:space="preserve">tension 0.25–0.50: 2–5 near-uniform subdivisions</w:t>
      </w:r>
    </w:p>
    <w:p>
      <w:pPr>
        <w:pStyle w:val="ListParagraph"/>
        <w:numPr>
          <w:ilvl w:val="0"/>
          <w:numId w:val="2"/>
        </w:numPr>
        <w:spacing w:after="40" w:before="40"/>
      </w:pPr>
      <w:r>
        <w:rPr>
          <w:rFonts w:ascii="Arial" w:cs="Arial" w:eastAsia="Arial" w:hAnsi="Arial"/>
          <w:sz w:val="22"/>
          <w:szCs w:val="22"/>
        </w:rPr>
        <w:t xml:space="preserve">tension &gt;0.50: 3–8 subdivisions with exponential weight distribution; preference for odd denominators (3, 5, 7) producing triplets, quintuplets, septuplets</w:t>
      </w:r>
    </w:p>
    <w:p>
      <w:pPr>
        <w:spacing w:after="0" w:before="80"/>
      </w:pPr>
    </w:p>
    <w:p>
      <w:pPr>
        <w:spacing w:after="160" w:before="0"/>
      </w:pPr>
      <w:r>
        <w:rPr>
          <w:rFonts w:ascii="Arial" w:cs="Arial" w:eastAsia="Arial" w:hAnsi="Arial"/>
          <w:color w:val="000000"/>
          <w:sz w:val="22"/>
          <w:szCs w:val="22"/>
        </w:rPr>
        <w:t xml:space="preserve">Subdivisions are generated with a deterministic seed per gesture (gidx × 1000 + 7), ensuring reproducibility across sessions. The output is a native OpenMusic 8 voice object with per-measure tempo in format-omtempo format:</w:t>
      </w:r>
    </w:p>
    <w:p>
      <w:pPr>
        <w:spacing w:after="60" w:before="60"/>
        <w:ind w:left="720"/>
      </w:pPr>
      <w:r>
        <w:rPr>
          <w:rFonts w:ascii="Courier New" w:cs="Courier New" w:eastAsia="Courier New" w:hAnsi="Courier New"/>
          <w:color w:val="1F4E79"/>
          <w:sz w:val="20"/>
          <w:szCs w:val="20"/>
        </w:rPr>
        <w:t xml:space="preserve">(defparameter *rtm-gesto1*</w:t>
      </w:r>
    </w:p>
    <w:p>
      <w:pPr>
        <w:spacing w:after="60" w:before="60"/>
        <w:ind w:left="720"/>
      </w:pPr>
      <w:r>
        <w:rPr>
          <w:rFonts w:ascii="Courier New" w:cs="Courier New" w:eastAsia="Courier New" w:hAnsi="Courier New"/>
          <w:color w:val="1F4E79"/>
          <w:sz w:val="20"/>
          <w:szCs w:val="20"/>
        </w:rPr>
        <w:t xml:space="preserve">  (make-instance 'voice</w:t>
      </w:r>
    </w:p>
    <w:p>
      <w:pPr>
        <w:spacing w:after="60" w:before="60"/>
        <w:ind w:left="720"/>
      </w:pPr>
      <w:r>
        <w:rPr>
          <w:rFonts w:ascii="Courier New" w:cs="Courier New" w:eastAsia="Courier New" w:hAnsi="Courier New"/>
          <w:color w:val="1F4E79"/>
          <w:sz w:val="20"/>
          <w:szCs w:val="20"/>
        </w:rPr>
        <w:t xml:space="preserve">    :tree '(? (((7 8) (1 (1 2))) ((9 8) ((1 (3 1)) ...)) ...))</w:t>
      </w:r>
    </w:p>
    <w:p>
      <w:pPr>
        <w:spacing w:after="60" w:before="60"/>
        <w:ind w:left="720"/>
      </w:pPr>
      <w:r>
        <w:rPr>
          <w:rFonts w:ascii="Courier New" w:cs="Courier New" w:eastAsia="Courier New" w:hAnsi="Courier New"/>
          <w:color w:val="1F4E79"/>
          <w:sz w:val="20"/>
          <w:szCs w:val="20"/>
        </w:rPr>
        <w:t xml:space="preserve">    :tempo (list '(1/4 58.8) (list '((1 0) (1/4 58.8 nil)) ...))))</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5. The Living Present (Husserl)</w:t>
      </w:r>
    </w:p>
    <w:p>
      <w:pPr>
        <w:pStyle w:val="Heading2"/>
        <w:spacing w:after="120" w:before="320"/>
      </w:pPr>
      <w:r>
        <w:rPr>
          <w:rFonts w:ascii="Arial" w:cs="Arial" w:eastAsia="Arial" w:hAnsi="Arial"/>
          <w:b/>
          <w:bCs/>
          <w:color w:val="595959"/>
          <w:sz w:val="26"/>
          <w:szCs w:val="26"/>
        </w:rPr>
        <w:t xml:space="preserve">5.1  Structure of temporal consciousness</w:t>
      </w:r>
    </w:p>
    <w:p>
      <w:pPr>
        <w:spacing w:after="160" w:before="0"/>
      </w:pPr>
      <w:r>
        <w:rPr>
          <w:rFonts w:ascii="Arial" w:cs="Arial" w:eastAsia="Arial" w:hAnsi="Arial"/>
          <w:color w:val="000000"/>
          <w:sz w:val="22"/>
          <w:szCs w:val="22"/>
        </w:rPr>
        <w:t xml:space="preserve">The tension architecture in SuperCollider implements Husserl's structure of the Lebendige Gegenwart — the living present as a temporal thickness encompassing three inseparable moments: retention (the immediate past still resonating), primal impression (the instantaneous present), protention (the imminent future anticipated before its arrival). In Husserl, these are not discrete states but a continuous intentional flow.</w:t>
      </w:r>
    </w:p>
    <w:p>
      <w:pPr>
        <w:spacing w:after="160" w:before="0"/>
      </w:pPr>
      <w:r>
        <w:rPr>
          <w:rFonts w:ascii="Arial" w:cs="Arial" w:eastAsia="Arial" w:hAnsi="Arial"/>
          <w:color w:val="000000"/>
          <w:sz w:val="22"/>
          <w:szCs w:val="22"/>
        </w:rPr>
        <w:t xml:space="preserve">This architectural choice responds to a specific compositional question: how can timbral category transitions carry memory of the past and anticipation of the future, rather than constituting bare state changes? The answer is structural: tension is a continuous flow rather than a discrete parameter, and its current value is always shaped by where it has been and where it is going.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Husserlian moment</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SuperCollider implementation</w:t>
            </w:r>
          </w:p>
        </w:tc>
        <w:tc>
          <w:tcPr>
            <w:tcW w:type="dxa" w:w="3008"/>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Weight</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Retention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Exponential moving average of last 8 tension values (~r_retentionValue)</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Primal impression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Current composite tension: score_tension × 0.6 + FluCoMa × 0.4</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Protention</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AppClock routine reading brownian_score.json 2 seconds ahead</w:t>
            </w:r>
          </w:p>
        </w:tc>
        <w:tc>
          <w:tcPr>
            <w:tcW w:type="dxa" w:w="3008"/>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r>
    </w:tbl>
    <w:p>
      <w:pPr>
        <w:spacing w:after="0" w:before="80"/>
      </w:pPr>
    </w:p>
    <w:p>
      <w:pPr>
        <w:spacing w:after="60" w:before="60"/>
        <w:ind w:left="720"/>
      </w:pPr>
      <w:r>
        <w:rPr>
          <w:rFonts w:ascii="Courier New" w:cs="Courier New" w:eastAsia="Courier New" w:hAnsi="Courier New"/>
          <w:color w:val="1F4E79"/>
          <w:sz w:val="20"/>
          <w:szCs w:val="20"/>
        </w:rPr>
        <w:t xml:space="preserve">living_present = impression × 0.60 + retention × 0.25 + protention × 0.15</w:t>
      </w:r>
    </w:p>
    <w:p>
      <w:pPr>
        <w:spacing w:after="160" w:before="0"/>
      </w:pPr>
      <w:r>
        <w:rPr>
          <w:rFonts w:ascii="Arial" w:cs="Arial" w:eastAsia="Arial" w:hAnsi="Arial"/>
          <w:color w:val="000000"/>
          <w:sz w:val="22"/>
          <w:szCs w:val="22"/>
        </w:rPr>
        <w:t xml:space="preserve">Retention uses an exponential moving average with recency bias. Protention pre-reads the next event's tension from the JSON score 2 seconds before its sonic realisation. Category transitions are always already in motion: the system is moving toward the next category before the current one is reached.</w:t>
      </w:r>
    </w:p>
    <w:p>
      <w:pPr>
        <w:pStyle w:val="Heading2"/>
        <w:spacing w:after="120" w:before="320"/>
      </w:pPr>
      <w:r>
        <w:rPr>
          <w:rFonts w:ascii="Arial" w:cs="Arial" w:eastAsia="Arial" w:hAnsi="Arial"/>
          <w:b/>
          <w:bCs/>
          <w:color w:val="595959"/>
          <w:sz w:val="26"/>
          <w:szCs w:val="26"/>
        </w:rPr>
        <w:t xml:space="preserve">5.2  FluCoMa real-time analysis</w:t>
      </w:r>
    </w:p>
    <w:p>
      <w:pPr>
        <w:spacing w:after="160" w:before="0"/>
      </w:pPr>
      <w:r>
        <w:rPr>
          <w:rFonts w:ascii="Arial" w:cs="Arial" w:eastAsia="Arial" w:hAnsi="Arial"/>
          <w:color w:val="000000"/>
          <w:sz w:val="22"/>
          <w:szCs w:val="22"/>
        </w:rPr>
        <w:t xml:space="preserve">The remnant_flucos.scd module uses FluidLoudness and FluidSpectralShape to extract RMS loudness and spectral centroid from the orchestral input signal in real time. These values contribute up to 40% of the composite tension (primal impression), making tension responsive to the orchestra's actual timbral state independently of the score:</w:t>
      </w:r>
    </w:p>
    <w:p>
      <w:pPr>
        <w:spacing w:after="60" w:before="60"/>
        <w:ind w:left="720"/>
      </w:pPr>
      <w:r>
        <w:rPr>
          <w:rFonts w:ascii="Courier New" w:cs="Courier New" w:eastAsia="Courier New" w:hAnsi="Courier New"/>
          <w:color w:val="1F4E79"/>
          <w:sz w:val="20"/>
          <w:szCs w:val="20"/>
        </w:rPr>
        <w:t xml:space="preserve">flucos_tension = 0.5 × norm(loudness) + 0.5 × norm(centroid)</w:t>
      </w:r>
    </w:p>
    <w:p>
      <w:pPr>
        <w:spacing w:after="60" w:before="60"/>
        <w:ind w:left="720"/>
      </w:pPr>
      <w:r>
        <w:rPr>
          <w:rFonts w:ascii="Courier New" w:cs="Courier New" w:eastAsia="Courier New" w:hAnsi="Courier New"/>
          <w:color w:val="1F4E79"/>
          <w:sz w:val="20"/>
          <w:szCs w:val="20"/>
        </w:rPr>
        <w:t xml:space="preserve">composite = score_tension × 0.6 + flucos_tension × 0.4</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6. Signal Chain</w:t>
      </w:r>
    </w:p>
    <w:p>
      <w:pPr>
        <w:pStyle w:val="Heading2"/>
        <w:spacing w:after="120" w:before="320"/>
      </w:pPr>
      <w:r>
        <w:rPr>
          <w:rFonts w:ascii="Arial" w:cs="Arial" w:eastAsia="Arial" w:hAnsi="Arial"/>
          <w:b/>
          <w:bCs/>
          <w:color w:val="595959"/>
          <w:sz w:val="26"/>
          <w:szCs w:val="26"/>
        </w:rPr>
        <w:t xml:space="preserve">6.1  Masking pipeline (Lerdahl)</w:t>
      </w:r>
    </w:p>
    <w:p>
      <w:pPr>
        <w:spacing w:after="160" w:before="0"/>
      </w:pPr>
      <w:r>
        <w:rPr>
          <w:rFonts w:ascii="Arial" w:cs="Arial" w:eastAsia="Arial" w:hAnsi="Arial"/>
          <w:color w:val="000000"/>
          <w:sz w:val="22"/>
          <w:szCs w:val="22"/>
        </w:rPr>
        <w:t xml:space="preserve">The convolution engine implements progressive source masking following Lerdahl's timbral hierarchy. The pipeline operates in series on each field: PitchShift → Convolution2 → FreqShift → BPF.</w:t>
      </w:r>
    </w:p>
    <w:p>
      <w:pPr>
        <w:pStyle w:val="ListParagraph"/>
        <w:numPr>
          <w:ilvl w:val="0"/>
          <w:numId w:val="2"/>
        </w:numPr>
        <w:spacing w:after="40" w:before="40"/>
      </w:pPr>
      <w:r>
        <w:rPr>
          <w:rFonts w:ascii="Arial" w:cs="Arial" w:eastAsia="Arial" w:hAnsi="Arial"/>
          <w:sz w:val="22"/>
          <w:szCs w:val="22"/>
        </w:rPr>
        <w:t xml:space="preserve">PitchShift: melodic and timbral scrambling; pitchRatio, pitchDispersion and timeDispersion scale with tension and vary by Lachenmann category</w:t>
      </w:r>
    </w:p>
    <w:p>
      <w:pPr>
        <w:pStyle w:val="ListParagraph"/>
        <w:numPr>
          <w:ilvl w:val="0"/>
          <w:numId w:val="2"/>
        </w:numPr>
        <w:spacing w:after="40" w:before="40"/>
      </w:pPr>
      <w:r>
        <w:rPr>
          <w:rFonts w:ascii="Arial" w:cs="Arial" w:eastAsia="Arial" w:hAnsi="Arial"/>
          <w:sz w:val="22"/>
          <w:szCs w:val="22"/>
        </w:rPr>
        <w:t xml:space="preserve">Convolution2: category-specific procedural IR generated algorithmically in SC</w:t>
      </w:r>
    </w:p>
    <w:p>
      <w:pPr>
        <w:pStyle w:val="ListParagraph"/>
        <w:numPr>
          <w:ilvl w:val="0"/>
          <w:numId w:val="2"/>
        </w:numPr>
        <w:spacing w:after="40" w:before="40"/>
      </w:pPr>
      <w:r>
        <w:rPr>
          <w:rFonts w:ascii="Arial" w:cs="Arial" w:eastAsia="Arial" w:hAnsi="Arial"/>
          <w:sz w:val="22"/>
          <w:szCs w:val="22"/>
        </w:rPr>
        <w:t xml:space="preserve">FreqShift: spectral rotation up to several hundred Hz; disrupts residual harmonic relationships</w:t>
      </w:r>
    </w:p>
    <w:p>
      <w:pPr>
        <w:pStyle w:val="ListParagraph"/>
        <w:numPr>
          <w:ilvl w:val="0"/>
          <w:numId w:val="2"/>
        </w:numPr>
        <w:spacing w:after="40" w:before="40"/>
      </w:pPr>
      <w:r>
        <w:rPr>
          <w:rFonts w:ascii="Arial" w:cs="Arial" w:eastAsia="Arial" w:hAnsi="Arial"/>
          <w:sz w:val="22"/>
          <w:szCs w:val="22"/>
        </w:rPr>
        <w:t xml:space="preserve">BPF: moving spectral window shifting toward inharmonic frequencies as tension rises</w:t>
      </w:r>
    </w:p>
    <w:p>
      <w:pPr>
        <w:spacing w:after="0" w:before="80"/>
      </w:pPr>
    </w:p>
    <w:p>
      <w:pPr>
        <w:spacing w:after="160" w:before="0"/>
      </w:pPr>
      <w:r>
        <w:rPr>
          <w:rFonts w:ascii="Arial" w:cs="Arial" w:eastAsia="Arial" w:hAnsi="Arial"/>
          <w:color w:val="000000"/>
          <w:sz w:val="22"/>
          <w:szCs w:val="22"/>
        </w:rPr>
        <w:t xml:space="preserve">The dry source is multiplied by (1 − tension)^1.5 — not mixed with the wet signal. At tension 1.0 the dry signal is zero: complete substitution, not blending. This asymmetric treatment prevents the perceptual ambiguity of equal-power mixing and ensures that high-tension states are categorically distinct from low-tension ones.</w:t>
      </w:r>
    </w:p>
    <w:p>
      <w:pPr>
        <w:pStyle w:val="Heading2"/>
        <w:spacing w:after="120" w:before="320"/>
      </w:pPr>
      <w:r>
        <w:rPr>
          <w:rFonts w:ascii="Arial" w:cs="Arial" w:eastAsia="Arial" w:hAnsi="Arial"/>
          <w:b/>
          <w:bCs/>
          <w:color w:val="595959"/>
          <w:sz w:val="26"/>
          <w:szCs w:val="26"/>
        </w:rPr>
        <w:t xml:space="preserve">6.2  IR categories (Lachenmann)</w:t>
      </w:r>
    </w:p>
    <w:p>
      <w:pPr>
        <w:spacing w:after="160" w:before="0"/>
      </w:pPr>
      <w:r>
        <w:rPr>
          <w:rFonts w:ascii="Arial" w:cs="Arial" w:eastAsia="Arial" w:hAnsi="Arial"/>
          <w:color w:val="000000"/>
          <w:sz w:val="22"/>
          <w:szCs w:val="22"/>
        </w:rPr>
        <w:t xml:space="preserve">Lachenmann's seven categories (Klang, Farbklang, Geräusch, Kadenz, Textur, Stille, Neutro) determine the character of the procedural IR applied to each field. All fields share the same IR and tension value, treating the orchestra as a single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IR spectral character</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Max freq shift</w:t>
            </w:r>
          </w:p>
        </w:tc>
        <w:tc>
          <w:tcPr>
            <w:tcW w:type="dxa" w:w="225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BPF Q</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Pure harmonic partials, long decay</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Farbklang</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Inharmonic ratios (φ, √2, √3…)</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Geräusch</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Broadband noise + filtered bands</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Kadenz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Periodic impulse train</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Textur</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Slow FM modulation</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Stille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Near-impulse, maximum transparency</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Neutro</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 resonance + slight noise</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Hz</w:t>
            </w:r>
          </w:p>
        </w:tc>
        <w:tc>
          <w:tcPr>
            <w:tcW w:type="dxa" w:w="225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bl>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7. Space and Diffusion</w:t>
      </w:r>
    </w:p>
    <w:p>
      <w:pPr>
        <w:spacing w:after="160" w:before="0"/>
      </w:pPr>
      <w:r>
        <w:rPr>
          <w:rFonts w:ascii="Arial" w:cs="Arial" w:eastAsia="Arial" w:hAnsi="Arial"/>
          <w:color w:val="000000"/>
          <w:sz w:val="22"/>
          <w:szCs w:val="22"/>
        </w:rPr>
        <w:t xml:space="preserve">Each Brownian path event has an azimuthal angle (0–360°) derived from its Y coordinate in UMAP space: azimuth = (Y − Y_min) / (Y_max − Y_min) × 360°. Octophonic panning is implemented via 8-channel VBAP (ITU-R BS.775).</w:t>
      </w:r>
    </w:p>
    <w:p>
      <w:pPr>
        <w:spacing w:after="160" w:before="0"/>
      </w:pPr>
      <w:r>
        <w:rPr>
          <w:rFonts w:ascii="Arial" w:cs="Arial" w:eastAsia="Arial" w:hAnsi="Arial"/>
          <w:color w:val="000000"/>
          <w:sz w:val="22"/>
          <w:szCs w:val="22"/>
        </w:rPr>
        <w:t xml:space="preserve">The compositional principle is that spatial placement emerges directly from timbral position: sounds close in timbral space tend to occupy similar azimuths. The physical diffusion space is a projection of timbral space — a formal correspondence between the perceptual and the spatial dimensions of sound.</w:t>
      </w:r>
    </w:p>
    <w:p>
      <w:pPr>
        <w:spacing w:after="160" w:before="0"/>
      </w:pPr>
      <w:r>
        <w:rPr>
          <w:rFonts w:ascii="Arial" w:cs="Arial" w:eastAsia="Arial" w:hAnsi="Arial"/>
          <w:color w:val="000000"/>
          <w:sz w:val="22"/>
          <w:szCs w:val="22"/>
        </w:rPr>
        <w:t xml:space="preserve">Development routing: ePlayer → BlackHole CH 0–3 → SC reads SoundIn(0–3). Concert routing: live microphones → SC directly. One convolution processor per field, shared IR, shared timbral state.</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8. Graphic Score</w:t>
      </w:r>
    </w:p>
    <w:p>
      <w:pPr>
        <w:spacing w:after="160" w:before="0"/>
      </w:pPr>
      <w:r>
        <w:rPr>
          <w:rFonts w:ascii="Arial" w:cs="Arial" w:eastAsia="Arial" w:hAnsi="Arial"/>
          <w:color w:val="000000"/>
          <w:sz w:val="22"/>
          <w:szCs w:val="22"/>
        </w:rPr>
        <w:t xml:space="preserve">The score is generated in Plotly/Dash. Each field is displayed on an azimuthal axis (0–360°). The notation draws on Feldman's proportional score and Lachenmann's morphological notation:</w:t>
      </w:r>
    </w:p>
    <w:p>
      <w:pPr>
        <w:pStyle w:val="ListParagraph"/>
        <w:numPr>
          <w:ilvl w:val="0"/>
          <w:numId w:val="2"/>
        </w:numPr>
        <w:spacing w:after="40" w:before="40"/>
      </w:pPr>
      <w:r>
        <w:rPr>
          <w:rFonts w:ascii="Arial" w:cs="Arial" w:eastAsia="Arial" w:hAnsi="Arial"/>
          <w:sz w:val="22"/>
          <w:szCs w:val="22"/>
        </w:rPr>
        <w:t xml:space="preserve">5-line staff centred on each event's azimuth</w:t>
      </w:r>
    </w:p>
    <w:p>
      <w:pPr>
        <w:pStyle w:val="ListParagraph"/>
        <w:numPr>
          <w:ilvl w:val="0"/>
          <w:numId w:val="2"/>
        </w:numPr>
        <w:spacing w:after="40" w:before="40"/>
      </w:pPr>
      <w:r>
        <w:rPr>
          <w:rFonts w:ascii="Arial" w:cs="Arial" w:eastAsia="Arial" w:hAnsi="Arial"/>
          <w:sz w:val="22"/>
          <w:szCs w:val="22"/>
        </w:rPr>
        <w:t xml:space="preserve">Notehead (symbol by Lachenmann category: ● Klang, ○ Farbklang, ■ Geräusch, ◆ Kadenz, + Textur) on onset</w:t>
      </w:r>
    </w:p>
    <w:p>
      <w:pPr>
        <w:pStyle w:val="ListParagraph"/>
        <w:numPr>
          <w:ilvl w:val="0"/>
          <w:numId w:val="2"/>
        </w:numPr>
        <w:spacing w:after="40" w:before="40"/>
      </w:pPr>
      <w:r>
        <w:rPr>
          <w:rFonts w:ascii="Arial" w:cs="Arial" w:eastAsia="Arial" w:hAnsi="Arial"/>
          <w:sz w:val="22"/>
          <w:szCs w:val="22"/>
        </w:rPr>
        <w:t xml:space="preserve">Duration line with vertical terminator</w:t>
      </w:r>
    </w:p>
    <w:p>
      <w:pPr>
        <w:pStyle w:val="ListParagraph"/>
        <w:numPr>
          <w:ilvl w:val="0"/>
          <w:numId w:val="2"/>
        </w:numPr>
        <w:spacing w:after="40" w:before="40"/>
      </w:pPr>
      <w:r>
        <w:rPr>
          <w:rFonts w:ascii="Arial" w:cs="Arial" w:eastAsia="Arial" w:hAnsi="Arial"/>
          <w:sz w:val="22"/>
          <w:szCs w:val="22"/>
        </w:rPr>
        <w:t xml:space="preserve">Italic dynamic from tension_profile (ppp…fff)</w:t>
      </w:r>
    </w:p>
    <w:p>
      <w:pPr>
        <w:pStyle w:val="ListParagraph"/>
        <w:numPr>
          <w:ilvl w:val="0"/>
          <w:numId w:val="2"/>
        </w:numPr>
        <w:spacing w:after="40" w:before="40"/>
      </w:pPr>
      <w:r>
        <w:rPr>
          <w:rFonts w:ascii="Arial" w:cs="Arial" w:eastAsia="Arial" w:hAnsi="Arial"/>
          <w:sz w:val="22"/>
          <w:szCs w:val="22"/>
        </w:rPr>
        <w:t xml:space="preserve">Alternating stagger ±14° for coincident azimuths</w:t>
      </w:r>
    </w:p>
    <w:p>
      <w:pPr>
        <w:pStyle w:val="ListParagraph"/>
        <w:numPr>
          <w:ilvl w:val="0"/>
          <w:numId w:val="2"/>
        </w:numPr>
        <w:spacing w:after="40" w:before="40"/>
      </w:pPr>
      <w:r>
        <w:rPr>
          <w:rFonts w:ascii="Arial" w:cs="Arial" w:eastAsia="Arial" w:hAnsi="Arial"/>
          <w:sz w:val="22"/>
          <w:szCs w:val="22"/>
        </w:rPr>
        <w:t xml:space="preserve">Semitransparent F.N watermark (field number)</w:t>
      </w:r>
    </w:p>
    <w:p>
      <w:pPr>
        <w:pStyle w:val="ListParagraph"/>
        <w:numPr>
          <w:ilvl w:val="0"/>
          <w:numId w:val="2"/>
        </w:numPr>
        <w:spacing w:after="40" w:before="40"/>
      </w:pPr>
      <w:r>
        <w:rPr>
          <w:rFonts w:ascii="Arial" w:cs="Arial" w:eastAsia="Arial" w:hAnsi="Arial"/>
          <w:sz w:val="22"/>
          <w:szCs w:val="22"/>
        </w:rPr>
        <w:t xml:space="preserve">ConTimbre link: click opens the instrument's HTML page with notation and audio</w:t>
      </w:r>
    </w:p>
    <w:p>
      <w:pPr>
        <w:pStyle w:val="ListParagraph"/>
        <w:numPr>
          <w:ilvl w:val="0"/>
          <w:numId w:val="2"/>
        </w:numPr>
        <w:spacing w:after="40" w:before="40"/>
      </w:pPr>
      <w:r>
        <w:rPr>
          <w:rFonts w:ascii="Arial" w:cs="Arial" w:eastAsia="Arial" w:hAnsi="Arial"/>
          <w:sz w:val="22"/>
          <w:szCs w:val="22"/>
        </w:rPr>
        <w:t xml:space="preserve">Editable vector SVG export (Illustrator/Inkscape)</w:t>
      </w:r>
    </w:p>
    <w:p>
      <w:pPr>
        <w:pBdr>
          <w:bottom w:val="single" w:color="DDDDDD" w:sz="6" w:space="1"/>
        </w:pBdr>
        <w:spacing w:after="240" w:before="240"/>
      </w:pPr>
    </w:p>
    <w:p>
      <w:pPr>
        <w:pStyle w:val="Heading1"/>
        <w:spacing w:after="160" w:before="480"/>
      </w:pPr>
      <w:r>
        <w:rPr>
          <w:rFonts w:ascii="Arial" w:cs="Arial" w:eastAsia="Arial" w:hAnsi="Arial"/>
          <w:b/>
          <w:bCs/>
          <w:color w:val="1F4E79"/>
          <w:sz w:val="32"/>
          <w:szCs w:val="32"/>
        </w:rPr>
        <w:t xml:space="preserve">9. References</w:t>
      </w:r>
    </w:p>
    <w:p>
      <w:pPr>
        <w:spacing w:after="100" w:before="60"/>
      </w:pPr>
      <w:r>
        <w:rPr>
          <w:rFonts w:ascii="Arial" w:cs="Arial" w:eastAsia="Arial" w:hAnsi="Arial"/>
          <w:b/>
          <w:bCs/>
          <w:sz w:val="22"/>
          <w:szCs w:val="22"/>
        </w:rPr>
        <w:t xml:space="preserve">Cella, C.E., Burred, J.J.  </w:t>
      </w:r>
      <w:r>
        <w:rPr>
          <w:rFonts w:ascii="Arial" w:cs="Arial" w:eastAsia="Arial" w:hAnsi="Arial"/>
          <w:sz w:val="22"/>
          <w:szCs w:val="22"/>
        </w:rPr>
        <w:t xml:space="preserve">Orchidea: A comprehensive orchidectral tool for target-based orchestration. ICMC, 2020.</w:t>
      </w:r>
    </w:p>
    <w:p>
      <w:pPr>
        <w:spacing w:after="100" w:before="60"/>
      </w:pPr>
      <w:r>
        <w:rPr>
          <w:rFonts w:ascii="Arial" w:cs="Arial" w:eastAsia="Arial" w:hAnsi="Arial"/>
          <w:b/>
          <w:bCs/>
          <w:sz w:val="22"/>
          <w:szCs w:val="22"/>
        </w:rPr>
        <w:t xml:space="preserve">Ferneyhough, B.  </w:t>
      </w:r>
      <w:r>
        <w:rPr>
          <w:rFonts w:ascii="Arial" w:cs="Arial" w:eastAsia="Arial" w:hAnsi="Arial"/>
          <w:sz w:val="22"/>
          <w:szCs w:val="22"/>
        </w:rPr>
        <w:t xml:space="preserve">Collected Writings. Ed. J. Boros &amp; R. Toop. Harwood Academic, 1995.</w:t>
      </w:r>
    </w:p>
    <w:p>
      <w:pPr>
        <w:spacing w:after="100" w:before="60"/>
      </w:pPr>
      <w:r>
        <w:rPr>
          <w:rFonts w:ascii="Arial" w:cs="Arial" w:eastAsia="Arial" w:hAnsi="Arial"/>
          <w:b/>
          <w:bCs/>
          <w:sz w:val="22"/>
          <w:szCs w:val="22"/>
        </w:rPr>
        <w:t xml:space="preserve">Grisey, G.  </w:t>
      </w:r>
      <w:r>
        <w:rPr>
          <w:rFonts w:ascii="Arial" w:cs="Arial" w:eastAsia="Arial" w:hAnsi="Arial"/>
          <w:sz w:val="22"/>
          <w:szCs w:val="22"/>
        </w:rPr>
        <w:t xml:space="preserve">Écrits ou l’invention de la musique spectrale. MF Editions, 2008.</w:t>
      </w:r>
    </w:p>
    <w:p>
      <w:pPr>
        <w:spacing w:after="100" w:before="60"/>
      </w:pPr>
      <w:r>
        <w:rPr>
          <w:rFonts w:ascii="Arial" w:cs="Arial" w:eastAsia="Arial" w:hAnsi="Arial"/>
          <w:b/>
          <w:bCs/>
          <w:sz w:val="22"/>
          <w:szCs w:val="22"/>
        </w:rPr>
        <w:t xml:space="preserve">Grill, T.  </w:t>
      </w:r>
      <w:r>
        <w:rPr>
          <w:rFonts w:ascii="Arial" w:cs="Arial" w:eastAsia="Arial" w:hAnsi="Arial"/>
          <w:sz w:val="22"/>
          <w:szCs w:val="22"/>
        </w:rPr>
        <w:t xml:space="preserve">ConTimbre: A Corpus of Contemporary Orchestral Timbres. 2023. contimbre.com</w:t>
      </w:r>
    </w:p>
    <w:p>
      <w:pPr>
        <w:spacing w:after="100" w:before="60"/>
      </w:pPr>
      <w:r>
        <w:rPr>
          <w:rFonts w:ascii="Arial" w:cs="Arial" w:eastAsia="Arial" w:hAnsi="Arial"/>
          <w:b/>
          <w:bCs/>
          <w:sz w:val="22"/>
          <w:szCs w:val="22"/>
        </w:rPr>
        <w:t xml:space="preserve">Husserl, E.  </w:t>
      </w:r>
      <w:r>
        <w:rPr>
          <w:rFonts w:ascii="Arial" w:cs="Arial" w:eastAsia="Arial" w:hAnsi="Arial"/>
          <w:sz w:val="22"/>
          <w:szCs w:val="22"/>
        </w:rPr>
        <w:t xml:space="preserve">On the Phenomenology of the Consciousness of Internal Time (1893–1917). Trans. J.B. Brough. Kluwer, 1991.</w:t>
      </w:r>
    </w:p>
    <w:p>
      <w:pPr>
        <w:spacing w:after="100" w:before="60"/>
      </w:pPr>
      <w:r>
        <w:rPr>
          <w:rFonts w:ascii="Arial" w:cs="Arial" w:eastAsia="Arial" w:hAnsi="Arial"/>
          <w:b/>
          <w:bCs/>
          <w:sz w:val="22"/>
          <w:szCs w:val="22"/>
        </w:rPr>
        <w:t xml:space="preserve">Lachenmann, H.  </w:t>
      </w:r>
      <w:r>
        <w:rPr>
          <w:rFonts w:ascii="Arial" w:cs="Arial" w:eastAsia="Arial" w:hAnsi="Arial"/>
          <w:sz w:val="22"/>
          <w:szCs w:val="22"/>
        </w:rPr>
        <w:t xml:space="preserve">Musik als existentielle Erfahrung. Breitkopf &amp; Härtel, 1996.</w:t>
      </w:r>
    </w:p>
    <w:p>
      <w:pPr>
        <w:spacing w:after="100" w:before="60"/>
      </w:pPr>
      <w:r>
        <w:rPr>
          <w:rFonts w:ascii="Arial" w:cs="Arial" w:eastAsia="Arial" w:hAnsi="Arial"/>
          <w:b/>
          <w:bCs/>
          <w:sz w:val="22"/>
          <w:szCs w:val="22"/>
        </w:rPr>
        <w:t xml:space="preserve">Lerdahl, F.  </w:t>
      </w:r>
      <w:r>
        <w:rPr>
          <w:rFonts w:ascii="Arial" w:cs="Arial" w:eastAsia="Arial" w:hAnsi="Arial"/>
          <w:sz w:val="22"/>
          <w:szCs w:val="22"/>
        </w:rPr>
        <w:t xml:space="preserve">Tonal Pitch Space. Oxford University Press, 2001.</w:t>
      </w:r>
    </w:p>
    <w:p>
      <w:pPr>
        <w:spacing w:after="100" w:before="60"/>
      </w:pPr>
      <w:r>
        <w:rPr>
          <w:rFonts w:ascii="Arial" w:cs="Arial" w:eastAsia="Arial" w:hAnsi="Arial"/>
          <w:b/>
          <w:bCs/>
          <w:sz w:val="22"/>
          <w:szCs w:val="22"/>
        </w:rPr>
        <w:t xml:space="preserve">McAdams, S.  </w:t>
      </w:r>
      <w:r>
        <w:rPr>
          <w:rFonts w:ascii="Arial" w:cs="Arial" w:eastAsia="Arial" w:hAnsi="Arial"/>
          <w:sz w:val="22"/>
          <w:szCs w:val="22"/>
        </w:rPr>
        <w:t xml:space="preserve">Recognition of auditory sound sources and events. In S. McAdams &amp; E. Bigand (Eds.), Thinking in Sound. Oxford, 1993.</w:t>
      </w:r>
    </w:p>
    <w:p>
      <w:pPr>
        <w:spacing w:after="100" w:before="60"/>
      </w:pPr>
      <w:r>
        <w:rPr>
          <w:rFonts w:ascii="Arial" w:cs="Arial" w:eastAsia="Arial" w:hAnsi="Arial"/>
          <w:b/>
          <w:bCs/>
          <w:sz w:val="22"/>
          <w:szCs w:val="22"/>
        </w:rPr>
        <w:t xml:space="preserve">McAdams, S. et al.  </w:t>
      </w:r>
      <w:r>
        <w:rPr>
          <w:rFonts w:ascii="Arial" w:cs="Arial" w:eastAsia="Arial" w:hAnsi="Arial"/>
          <w:sz w:val="22"/>
          <w:szCs w:val="22"/>
        </w:rPr>
        <w:t xml:space="preserve">Perceptual scaling of synthesized musical timbres. Psychological Research, 58, 1999.</w:t>
      </w:r>
    </w:p>
    <w:p>
      <w:pPr>
        <w:spacing w:after="100" w:before="60"/>
      </w:pPr>
      <w:r>
        <w:rPr>
          <w:rFonts w:ascii="Arial" w:cs="Arial" w:eastAsia="Arial" w:hAnsi="Arial"/>
          <w:b/>
          <w:bCs/>
          <w:sz w:val="22"/>
          <w:szCs w:val="22"/>
        </w:rPr>
        <w:t xml:space="preserve">Murail, T.  </w:t>
      </w:r>
      <w:r>
        <w:rPr>
          <w:rFonts w:ascii="Arial" w:cs="Arial" w:eastAsia="Arial" w:hAnsi="Arial"/>
          <w:sz w:val="22"/>
          <w:szCs w:val="22"/>
        </w:rPr>
        <w:t xml:space="preserve">États, seuils, transitions. Entretemps, 1984.</w:t>
      </w:r>
    </w:p>
    <w:p>
      <w:pPr>
        <w:spacing w:after="100" w:before="60"/>
      </w:pPr>
      <w:r>
        <w:rPr>
          <w:rFonts w:ascii="Arial" w:cs="Arial" w:eastAsia="Arial" w:hAnsi="Arial"/>
          <w:b/>
          <w:bCs/>
          <w:sz w:val="22"/>
          <w:szCs w:val="22"/>
        </w:rPr>
        <w:t xml:space="preserve">Thoresen, L.  </w:t>
      </w:r>
      <w:r>
        <w:rPr>
          <w:rFonts w:ascii="Arial" w:cs="Arial" w:eastAsia="Arial" w:hAnsi="Arial"/>
          <w:sz w:val="22"/>
          <w:szCs w:val="22"/>
        </w:rPr>
        <w:t xml:space="preserve">Aural Sonology. Oslo: Norwegian Academy of Music, 2015. Ch. 8: Dynamic Forms.</w:t>
      </w:r>
    </w:p>
    <w:p>
      <w:pPr>
        <w:spacing w:after="100" w:before="60"/>
      </w:pPr>
      <w:r>
        <w:rPr>
          <w:rFonts w:ascii="Arial" w:cs="Arial" w:eastAsia="Arial" w:hAnsi="Arial"/>
          <w:b/>
          <w:bCs/>
          <w:sz w:val="22"/>
          <w:szCs w:val="22"/>
        </w:rPr>
        <w:t xml:space="preserve">Tremblay, P.A. et al.  </w:t>
      </w:r>
      <w:r>
        <w:rPr>
          <w:rFonts w:ascii="Arial" w:cs="Arial" w:eastAsia="Arial" w:hAnsi="Arial"/>
          <w:sz w:val="22"/>
          <w:szCs w:val="22"/>
        </w:rPr>
        <w:t xml:space="preserve">FluCoMa: Fluid Corpus Manipulation Toolbox. ICMC,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2026-06-11T18:14:00.886Z</dcterms:created>
  <dcterms:modified xsi:type="dcterms:W3CDTF">2026-06-11T18:14:00.886Z</dcterms:modified>
</cp:coreProperties>
</file>

<file path=docProps/custom.xml><?xml version="1.0" encoding="utf-8"?>
<Properties xmlns="http://schemas.openxmlformats.org/officeDocument/2006/custom-properties" xmlns:vt="http://schemas.openxmlformats.org/officeDocument/2006/docPropsVTypes"/>
</file>