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REMNANT</w:t>
      </w:r>
    </w:p>
    <w:p>
      <w:pPr>
        <w:spacing w:after="120" w:before="0"/>
        <w:jc w:val="center"/>
      </w:pPr>
      <w:r>
        <w:rPr>
          <w:rFonts w:ascii="Arial" w:cs="Arial" w:eastAsia="Arial" w:hAnsi="Arial"/>
          <w:i/>
          <w:iCs/>
          <w:color w:val="595959"/>
          <w:sz w:val="28"/>
          <w:szCs w:val="28"/>
        </w:rPr>
        <w:t xml:space="preserve">Traces sonores d’un monde non-humain</w:t>
      </w:r>
    </w:p>
    <w:p>
      <w:pPr>
        <w:pBdr>
          <w:bottom w:val="single" w:color="DDDDDD" w:sz="6" w:space="1"/>
        </w:pBdr>
        <w:spacing w:after="240" w:before="240"/>
      </w:pPr>
    </w:p>
    <w:p>
      <w:pPr>
        <w:spacing w:after="80" w:before="80"/>
        <w:jc w:val="center"/>
      </w:pPr>
      <w:r>
        <w:rPr>
          <w:rFonts w:ascii="Arial" w:cs="Arial" w:eastAsia="Arial" w:hAnsi="Arial"/>
          <w:color w:val="595959"/>
          <w:sz w:val="22"/>
          <w:szCs w:val="22"/>
        </w:rPr>
        <w:t xml:space="preserve">Notes théoriques et techniques</w:t>
      </w:r>
    </w:p>
    <w:p>
      <w:pPr>
        <w:spacing w:after="2880" w:before="80"/>
        <w:jc w:val="center"/>
      </w:pPr>
      <w:r>
        <w:rPr>
          <w:rFonts w:ascii="Arial" w:cs="Arial" w:eastAsia="Arial" w:hAnsi="Arial"/>
          <w:color w:val="595959"/>
          <w:sz w:val="22"/>
          <w:szCs w:val="22"/>
        </w:rPr>
        <w:t xml:space="preserve">v4  —  2025–2026</w:t>
      </w:r>
    </w:p>
    <w:p>
      <w:pPr>
        <w:pStyle w:val="Heading1"/>
        <w:spacing w:after="160" w:before="480"/>
      </w:pPr>
      <w:r>
        <w:rPr>
          <w:rFonts w:ascii="Arial" w:cs="Arial" w:eastAsia="Arial" w:hAnsi="Arial"/>
          <w:b/>
          <w:bCs/>
          <w:color w:val="1F4E79"/>
          <w:sz w:val="32"/>
          <w:szCs w:val="32"/>
        </w:rPr>
        <w:t xml:space="preserve">0. Vue d’ensemble</w:t>
      </w:r>
    </w:p>
    <w:p>
      <w:pPr>
        <w:spacing w:after="160" w:before="0"/>
      </w:pPr>
      <w:r>
        <w:rPr>
          <w:rFonts w:ascii="Arial" w:cs="Arial" w:eastAsia="Arial" w:hAnsi="Arial"/>
          <w:color w:val="000000"/>
          <w:sz w:val="22"/>
          <w:szCs w:val="22"/>
        </w:rPr>
        <w:t xml:space="preserve">Remnant est un système de composition acousmatique multicanal et d’électronique en temps réel pour orchestre et diffusion octophonique à huit canaux. Le projet s’inscrit dans une perspective biocentrique sur l’Anthropocène : les sons instrumentaux sont traités comme des traces d’un monde qui continue d’exister indépendamment de la présence humaine.</w:t>
      </w:r>
    </w:p>
    <w:p>
      <w:pPr>
        <w:spacing w:after="160" w:before="0"/>
      </w:pPr>
      <w:r>
        <w:rPr>
          <w:rFonts w:ascii="Arial" w:cs="Arial" w:eastAsia="Arial" w:hAnsi="Arial"/>
          <w:color w:val="000000"/>
          <w:sz w:val="22"/>
          <w:szCs w:val="22"/>
        </w:rPr>
        <w:t xml:space="preserve">Le moteur compositionnel explore l’espace timbrique orchestral par mouvement brownien dans un espace UMAP construit sur le corpus ConTimbre. En concert, l’électronique écoute l’orchestre en temps réel et transforme son signal selon une morphologie de tension dérivée de la hiérarchie timbrique de Lerdahl.</w:t>
      </w:r>
    </w:p>
    <w:p>
      <w:pPr>
        <w:spacing w:after="160" w:before="0"/>
      </w:pPr>
      <w:r>
        <w:rPr>
          <w:rFonts w:ascii="Arial" w:cs="Arial" w:eastAsia="Arial" w:hAnsi="Arial"/>
          <w:color w:val="000000"/>
          <w:sz w:val="22"/>
          <w:szCs w:val="22"/>
        </w:rPr>
        <w:t xml:space="preserve">Le projet intègre dans une seule architecture : sélection probabiliste des timbres (mouvement brownien dans l’espace UMAP), directions temporelles (Dynamic Forms de Thoresen), tension timbrique (hiérarchie de Lerdahl), présent vivant (phénoménologie husserlienne implémentée en SuperCollider), analyse spectrale en temps réel (FluCoMa), et notation proportionnelle hiérarchique pour OpenMusic (système Ferneyhough).</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1. Espace Timbrique</w:t>
      </w:r>
    </w:p>
    <w:p>
      <w:pPr>
        <w:pStyle w:val="Heading2"/>
        <w:spacing w:after="120" w:before="320"/>
      </w:pPr>
      <w:r>
        <w:rPr>
          <w:rFonts w:ascii="Arial" w:cs="Arial" w:eastAsia="Arial" w:hAnsi="Arial"/>
          <w:b/>
          <w:bCs/>
          <w:color w:val="595959"/>
          <w:sz w:val="26"/>
          <w:szCs w:val="26"/>
        </w:rPr>
        <w:t xml:space="preserve">1.1  Corpus et morphologie spectrale</w:t>
      </w:r>
    </w:p>
    <w:p>
      <w:pPr>
        <w:spacing w:after="160" w:before="0"/>
      </w:pPr>
      <w:r>
        <w:rPr>
          <w:rFonts w:ascii="Arial" w:cs="Arial" w:eastAsia="Arial" w:hAnsi="Arial"/>
          <w:color w:val="000000"/>
          <w:sz w:val="22"/>
          <w:szCs w:val="22"/>
        </w:rPr>
        <w:t xml:space="preserve">Le corpus de base est ConTimbre Standard V2 (Thomas Grill, 2023), qui recense les techniques étendues pour orchestre symphonique avec des descripteurs acoustiques pour chaque son. La réduction dimensionnelle utilise UMAP avec pondération perceptive dérivée de McAdams (1993, 1999). La pondération reflète la saillance perceptive des dimensions du timbre : le centroide spectral, dimension primaire de la brillance, reçoit le poids dominant ; le flux spectral, lié à la rugosité et à la densité des transitions, est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Descripteur</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Poids McAdams</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Interprétation perceptive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spectral_center</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Brillance, position spectrale (dimension primaire)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spectral_complexity</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Rugosité, densité spectrale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pitch</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Hauteur (secondaire au timbre)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dynamic_num, durée, intensité</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Paramètres de support</w:t>
            </w:r>
          </w:p>
        </w:tc>
      </w:tr>
    </w:tbl>
    <w:p>
      <w:pPr>
        <w:spacing w:after="0" w:before="80"/>
      </w:pPr>
    </w:p>
    <w:p>
      <w:pPr>
        <w:spacing w:after="160" w:before="0"/>
      </w:pPr>
      <w:r>
        <w:rPr>
          <w:rFonts w:ascii="Arial" w:cs="Arial" w:eastAsia="Arial" w:hAnsi="Arial"/>
          <w:color w:val="000000"/>
          <w:sz w:val="22"/>
          <w:szCs w:val="22"/>
        </w:rPr>
        <w:t xml:space="preserve">L’espace UMAP résultant constitue la « carte morphologique » du corpus : les sons proches dans cet espace partagent des qualités spectrales similaires. Le mouvement brownien dans cet espace est donc un parcours de la morphologie timbrique, non une sélection aléatoire d’échantillons.</w:t>
      </w:r>
    </w:p>
    <w:p>
      <w:pPr>
        <w:spacing w:after="160" w:before="0"/>
      </w:pPr>
      <w:r>
        <w:rPr>
          <w:rFonts w:ascii="Arial" w:cs="Arial" w:eastAsia="Arial" w:hAnsi="Arial"/>
          <w:color w:val="000000"/>
          <w:sz w:val="22"/>
          <w:szCs w:val="22"/>
        </w:rPr>
        <w:t xml:space="preserve">Le modèle UMAP est sérialisé (umap_model.pkl, umap_scaler.pkl) pour permettre la projection de fichiers audio externes dans l’espace timbrique existant, selon une approche analogue à l’orchestration par cible d’Orchidea (Cella, Burred).</w:t>
      </w:r>
    </w:p>
    <w:p>
      <w:pPr>
        <w:pStyle w:val="Heading2"/>
        <w:spacing w:after="120" w:before="320"/>
      </w:pPr>
      <w:r>
        <w:rPr>
          <w:rFonts w:ascii="Arial" w:cs="Arial" w:eastAsia="Arial" w:hAnsi="Arial"/>
          <w:b/>
          <w:bCs/>
          <w:color w:val="595959"/>
          <w:sz w:val="26"/>
          <w:szCs w:val="26"/>
        </w:rPr>
        <w:t xml:space="preserve">1.2  Hiérarchie timbrique de Lerdahl</w:t>
      </w:r>
    </w:p>
    <w:p>
      <w:pPr>
        <w:spacing w:after="160" w:before="0"/>
      </w:pPr>
      <w:r>
        <w:rPr>
          <w:rFonts w:ascii="Arial" w:cs="Arial" w:eastAsia="Arial" w:hAnsi="Arial"/>
          <w:color w:val="000000"/>
          <w:sz w:val="22"/>
          <w:szCs w:val="22"/>
        </w:rPr>
        <w:t xml:space="preserve">La tension timbrique suit la hiérarchie proposée par Lerdahl (2001) dans Tonal Pitch Space, adaptée au domaine timbrique : la distance d’un son par rapport à la région stable de l’espace UMAP est proportionnelle à la tension timbrique perçue. La tension de champ est la volatilité brownienne normalisée sur [0, 1].</w:t>
      </w:r>
    </w:p>
    <w:p>
      <w:pPr>
        <w:spacing w:after="160" w:before="0"/>
      </w:pPr>
      <w:r>
        <w:rPr>
          <w:rFonts w:ascii="Arial" w:cs="Arial" w:eastAsia="Arial" w:hAnsi="Arial"/>
          <w:color w:val="000000"/>
          <w:sz w:val="22"/>
          <w:szCs w:val="22"/>
        </w:rPr>
        <w:t xml:space="preserve">Toute la chaîne de traitement — pitch shift, convolution, décalage fréquentiel, filtre passe-bande — est paramétrisée par ce scalaire. À tension 1.0, la source est entièrement masquée et méconnaissable. La source n’est pas mélangée au signal traité, elle est progressivement substituée : dry = (1 − tension)^1.5.</w:t>
      </w:r>
    </w:p>
    <w:p>
      <w:pPr>
        <w:pStyle w:val="Heading2"/>
        <w:spacing w:after="120" w:before="320"/>
      </w:pPr>
      <w:r>
        <w:rPr>
          <w:rFonts w:ascii="Arial" w:cs="Arial" w:eastAsia="Arial" w:hAnsi="Arial"/>
          <w:b/>
          <w:bCs/>
          <w:color w:val="595959"/>
          <w:sz w:val="26"/>
          <w:szCs w:val="26"/>
        </w:rPr>
        <w:t xml:space="preserve">1.3  Sélection par image sonore</w:t>
      </w:r>
    </w:p>
    <w:p>
      <w:pPr>
        <w:spacing w:after="160" w:before="0"/>
      </w:pPr>
      <w:r>
        <w:rPr>
          <w:rFonts w:ascii="Arial" w:cs="Arial" w:eastAsia="Arial" w:hAnsi="Arial"/>
          <w:color w:val="000000"/>
          <w:sz w:val="22"/>
          <w:szCs w:val="22"/>
        </w:rPr>
        <w:t xml:space="preserve">En alternative au mouvement brownien libre, le compositeur peut définir une image sonore cible à l’aide de quatre curseurs perceptifs (centroide, texture, hauteur, dynamique) et d’un paramètre Breadth contrôlant la taille de la sélection. Le système sélectionne les N sons les plus proches par distance euclidienne pondérée McAdams :</w:t>
      </w:r>
    </w:p>
    <w:p>
      <w:pPr>
        <w:spacing w:after="60" w:before="60"/>
        <w:ind w:left="720"/>
      </w:pPr>
      <w:r>
        <w:rPr>
          <w:rFonts w:ascii="Courier New" w:cs="Courier New" w:eastAsia="Courier New" w:hAnsi="Courier New"/>
          <w:color w:val="1F4E79"/>
          <w:sz w:val="20"/>
          <w:szCs w:val="20"/>
        </w:rPr>
        <w:t xml:space="preserve">d = Σ W[k] × (descripteur[k] − cible[k])²  /  Σ W[k]</w:t>
      </w:r>
    </w:p>
    <w:p>
      <w:pPr>
        <w:spacing w:after="160" w:before="0"/>
      </w:pPr>
      <w:r>
        <w:rPr>
          <w:rFonts w:ascii="Arial" w:cs="Arial" w:eastAsia="Arial" w:hAnsi="Arial"/>
          <w:color w:val="000000"/>
          <w:sz w:val="22"/>
          <w:szCs w:val="22"/>
        </w:rPr>
        <w:t xml:space="preserve">L’image sonore peut être substituée par un fichier audio externe (approche Orchidea/MaxOrch) : extraction des descripteurs spectraux avec librosa, normalisation McAdams, projection dans l’espace UMAP via umap_model.transform(). Les coordonnées résultantes remplacent le centroide de la Dynamic Form comme attracteur du parcours brownien.</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2. Mouvement Brownien</w:t>
      </w:r>
    </w:p>
    <w:p>
      <w:pPr>
        <w:pStyle w:val="Heading2"/>
        <w:spacing w:after="120" w:before="320"/>
      </w:pPr>
      <w:r>
        <w:rPr>
          <w:rFonts w:ascii="Arial" w:cs="Arial" w:eastAsia="Arial" w:hAnsi="Arial"/>
          <w:b/>
          <w:bCs/>
          <w:color w:val="595959"/>
          <w:sz w:val="26"/>
          <w:szCs w:val="26"/>
        </w:rPr>
        <w:t xml:space="preserve">2.1  Parcours et distribution temporelle</w:t>
      </w:r>
    </w:p>
    <w:p>
      <w:pPr>
        <w:spacing w:after="160" w:before="0"/>
      </w:pPr>
      <w:r>
        <w:rPr>
          <w:rFonts w:ascii="Arial" w:cs="Arial" w:eastAsia="Arial" w:hAnsi="Arial"/>
          <w:color w:val="000000"/>
          <w:sz w:val="22"/>
          <w:szCs w:val="22"/>
        </w:rPr>
        <w:t xml:space="preserve">Chaque champ est un parcours brownien autonome dans l’espace UMAP. À chaque pas, le parcours se déplace d’un vecteur aléatoire avec composante de dérive (dx, dy) et composante stochastique mise à l’échelle par la volatilité courante :</w:t>
      </w:r>
    </w:p>
    <w:p>
      <w:pPr>
        <w:spacing w:after="60" w:before="60"/>
        <w:ind w:left="720"/>
      </w:pPr>
      <w:r>
        <w:rPr>
          <w:rFonts w:ascii="Courier New" w:cs="Courier New" w:eastAsia="Courier New" w:hAnsi="Courier New"/>
          <w:color w:val="1F4E79"/>
          <w:sz w:val="20"/>
          <w:szCs w:val="20"/>
        </w:rPr>
        <w:t xml:space="preserve">x_{n+1} = clip(x_n + dx + attraction·(x_attr − x_n) + volatilité·U(−1,1))</w:t>
      </w:r>
    </w:p>
    <w:p>
      <w:pPr>
        <w:spacing w:after="160" w:before="0"/>
      </w:pPr>
      <w:r>
        <w:rPr>
          <w:rFonts w:ascii="Arial" w:cs="Arial" w:eastAsia="Arial" w:hAnsi="Arial"/>
          <w:color w:val="000000"/>
          <w:sz w:val="22"/>
          <w:szCs w:val="22"/>
        </w:rPr>
        <w:t xml:space="preserve">Les distances euclidiennes inter-pas dans l’espace UMAP deviennent des proportions temporelles par intégration cumulative : la position temporelle de chaque événement est t_frac = dist_cumulée / dist_totale, projetée sur la durée du geste. Des pas géométriquement longs correspondent à des zones de grande mobilité timbrique et reçoivent plus de temps ; des pas courts indiquent une stabilité timbrique locale.</w:t>
      </w:r>
    </w:p>
    <w:p>
      <w:pPr>
        <w:spacing w:after="160" w:before="0"/>
      </w:pPr>
      <w:r>
        <w:rPr>
          <w:rFonts w:ascii="Arial" w:cs="Arial" w:eastAsia="Arial" w:hAnsi="Arial"/>
          <w:color w:val="000000"/>
          <w:sz w:val="22"/>
          <w:szCs w:val="22"/>
        </w:rPr>
        <w:t xml:space="preserve">Le rythme émerge ainsi de la géométrie du parcours timbrique et non d’une grille métrique imposée de l’extérieur. Ce principe rapproche Remnant des recherches spectrales sur la continuation du matériau sonore : la forme rythmique est une conséquence de la morphologie timbrique, non son prérequis.</w:t>
      </w:r>
    </w:p>
    <w:p>
      <w:pPr>
        <w:pStyle w:val="Heading2"/>
        <w:spacing w:after="120" w:before="320"/>
      </w:pPr>
      <w:r>
        <w:rPr>
          <w:rFonts w:ascii="Arial" w:cs="Arial" w:eastAsia="Arial" w:hAnsi="Arial"/>
          <w:b/>
          <w:bCs/>
          <w:color w:val="595959"/>
          <w:sz w:val="26"/>
          <w:szCs w:val="26"/>
        </w:rPr>
        <w:t xml:space="preserve">2.2  Attracteurs</w:t>
      </w:r>
    </w:p>
    <w:p>
      <w:pPr>
        <w:spacing w:after="160" w:before="0"/>
      </w:pPr>
      <w:r>
        <w:rPr>
          <w:rFonts w:ascii="Arial" w:cs="Arial" w:eastAsia="Arial" w:hAnsi="Arial"/>
          <w:color w:val="000000"/>
          <w:sz w:val="22"/>
          <w:szCs w:val="22"/>
        </w:rPr>
        <w:t xml:space="preserve">Le parcours brownien est attiré vers un centroide dans l’espace UMAP. Deux types d’attracteurs sont supportés :</w:t>
      </w:r>
    </w:p>
    <w:p>
      <w:pPr>
        <w:pStyle w:val="ListParagraph"/>
        <w:numPr>
          <w:ilvl w:val="0"/>
          <w:numId w:val="2"/>
        </w:numPr>
        <w:spacing w:after="40" w:before="40"/>
      </w:pPr>
      <w:r>
        <w:rPr>
          <w:rFonts w:ascii="Arial" w:cs="Arial" w:eastAsia="Arial" w:hAnsi="Arial"/>
          <w:sz w:val="22"/>
          <w:szCs w:val="22"/>
        </w:rPr>
        <w:t xml:space="preserve">Dynamic Form (Thoresen) : le centroide est calculé comme le barycentre des coordonnées UMAP de tous les sons appartenant à la catégorie Lachenmann correspondant à la direction assignée au champ.</w:t>
      </w:r>
    </w:p>
    <w:p>
      <w:pPr>
        <w:pStyle w:val="ListParagraph"/>
        <w:numPr>
          <w:ilvl w:val="0"/>
          <w:numId w:val="2"/>
        </w:numPr>
        <w:spacing w:after="40" w:before="40"/>
      </w:pPr>
      <w:r>
        <w:rPr>
          <w:rFonts w:ascii="Arial" w:cs="Arial" w:eastAsia="Arial" w:hAnsi="Arial"/>
          <w:sz w:val="22"/>
          <w:szCs w:val="22"/>
        </w:rPr>
        <w:t xml:space="preserve">Audio cible (style Orchidea) : un fichier audio externe est projeté dans le plan UMAP ; ses coordonnées remplacent le centroide de la Dynamic Form.</w:t>
      </w:r>
    </w:p>
    <w:p>
      <w:pPr>
        <w:pStyle w:val="Heading2"/>
        <w:spacing w:after="120" w:before="320"/>
      </w:pPr>
      <w:r>
        <w:rPr>
          <w:rFonts w:ascii="Arial" w:cs="Arial" w:eastAsia="Arial" w:hAnsi="Arial"/>
          <w:b/>
          <w:bCs/>
          <w:color w:val="595959"/>
          <w:sz w:val="26"/>
          <w:szCs w:val="26"/>
        </w:rPr>
        <w:t xml:space="preserve">2.3  Profil de tension par pas</w:t>
      </w:r>
    </w:p>
    <w:p>
      <w:pPr>
        <w:spacing w:after="160" w:before="0"/>
      </w:pPr>
      <w:r>
        <w:rPr>
          <w:rFonts w:ascii="Arial" w:cs="Arial" w:eastAsia="Arial" w:hAnsi="Arial"/>
          <w:color w:val="000000"/>
          <w:sz w:val="22"/>
          <w:szCs w:val="22"/>
        </w:rPr>
        <w:t xml:space="preserve">Chaque pas du parcours est associé à une valeur scalaire de tension calculée par la fonction compute_tension_profile, dépendante de la direction temporelle assignée au champ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Formule de tension</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Profil morphologique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Croissant, accumulation</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Décroissant, dissolution</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 + 0.10·sin(π·t_rel)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Stable, légère arche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dist / (xrange·0.3)</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Dérivé de la distance brownienne</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3. Formes Dynamiques (Thoresen)</w:t>
      </w:r>
    </w:p>
    <w:p>
      <w:pPr>
        <w:spacing w:after="160" w:before="0"/>
      </w:pPr>
      <w:r>
        <w:rPr>
          <w:rFonts w:ascii="Arial" w:cs="Arial" w:eastAsia="Arial" w:hAnsi="Arial"/>
          <w:color w:val="000000"/>
          <w:sz w:val="22"/>
          <w:szCs w:val="22"/>
        </w:rPr>
        <w:t xml:space="preserve">Les Dynamic Forms de Thoresen (Aural Sonology, ch. 8) décrivent les modalités fondamentales de tension-relâche dans le son musical comme des directions temporelles intrinsèques : Forward (projection, accumulation), Backward (recueillement, décélération), Presence (stabilité présente, circularité), Neutral (indéfini).</w:t>
      </w:r>
    </w:p>
    <w:p>
      <w:pPr>
        <w:spacing w:after="160" w:before="0"/>
      </w:pPr>
      <w:r>
        <w:rPr>
          <w:rFonts w:ascii="Arial" w:cs="Arial" w:eastAsia="Arial" w:hAnsi="Arial"/>
          <w:color w:val="000000"/>
          <w:sz w:val="22"/>
          <w:szCs w:val="22"/>
        </w:rPr>
        <w:t xml:space="preserve">Dans Remnant, chaque direction détermine : (a) l’attracteur du parcours brownien dans l’espace UMAP ; (b) le profil de tension par pas ; (c) la catégorie Lachenmann prédominante en fonction du niveau de tension atteint. La correspondance entre direction et catégorie n’est pas arbitraire : elle traduit une logique morphologique cohérente avec la terminologie spectrale de Grisey et Murail (geste, seuil,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Attracteur UMAP</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Basse tension (&lt;0.7)</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Haute tension (≥0.7)</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Kadenz/Textur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Farbklang/Geräusch</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Klang/Stille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Volatilité brownienne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4. Grille Pulsatoire et Notation RTM</w:t>
      </w:r>
    </w:p>
    <w:p>
      <w:pPr>
        <w:pStyle w:val="Heading2"/>
        <w:spacing w:after="120" w:before="320"/>
      </w:pPr>
      <w:r>
        <w:rPr>
          <w:rFonts w:ascii="Arial" w:cs="Arial" w:eastAsia="Arial" w:hAnsi="Arial"/>
          <w:b/>
          <w:bCs/>
          <w:color w:val="595959"/>
          <w:sz w:val="26"/>
          <w:szCs w:val="26"/>
        </w:rPr>
        <w:t xml:space="preserve">4.1  Grille dans la partition graphique</w:t>
      </w:r>
    </w:p>
    <w:p>
      <w:pPr>
        <w:spacing w:after="160" w:before="0"/>
      </w:pPr>
      <w:r>
        <w:rPr>
          <w:rFonts w:ascii="Arial" w:cs="Arial" w:eastAsia="Arial" w:hAnsi="Arial"/>
          <w:color w:val="000000"/>
          <w:sz w:val="22"/>
          <w:szCs w:val="22"/>
        </w:rPr>
        <w:t xml:space="preserve">La grille pulsatoire encode les distances euclidiennes browniennes inter-pas comme fractions rationnelles binaires (dénominateur ≤8, système Ferneyhough). Chaque cellule porte son propre BPM local dérivé de la valeur de tension par pas : BPM = 40 + tension × 80, ancré à la grille [40, 48, 60, 72, 80, 96, 120].</w:t>
      </w:r>
    </w:p>
    <w:p>
      <w:pPr>
        <w:spacing w:after="160" w:before="0"/>
      </w:pPr>
      <w:r>
        <w:rPr>
          <w:rFonts w:ascii="Arial" w:cs="Arial" w:eastAsia="Arial" w:hAnsi="Arial"/>
          <w:color w:val="000000"/>
          <w:sz w:val="22"/>
          <w:szCs w:val="22"/>
        </w:rPr>
        <w:t xml:space="preserve">Le principe fondateur est l’invariance des durées absolues en secondes : le BPM local est une indication gestuelle et interprétative, non une contrainte métrique. Cette approche s’inscrit dans la tradition des recherches spectrales sur la notation proportionnelle (Murail, Grisey) et dans la pratique de la notation de complexité de Ferneyhough.</w:t>
      </w:r>
    </w:p>
    <w:p>
      <w:pPr>
        <w:pStyle w:val="Heading2"/>
        <w:spacing w:after="120" w:before="320"/>
      </w:pPr>
      <w:r>
        <w:rPr>
          <w:rFonts w:ascii="Arial" w:cs="Arial" w:eastAsia="Arial" w:hAnsi="Arial"/>
          <w:b/>
          <w:bCs/>
          <w:color w:val="595959"/>
          <w:sz w:val="26"/>
          <w:szCs w:val="26"/>
        </w:rPr>
        <w:t xml:space="preserve">4.2  Export RTM pour OpenMusic</w:t>
      </w:r>
    </w:p>
    <w:p>
      <w:pPr>
        <w:spacing w:after="160" w:before="0"/>
      </w:pPr>
      <w:r>
        <w:rPr>
          <w:rFonts w:ascii="Arial" w:cs="Arial" w:eastAsia="Arial" w:hAnsi="Arial"/>
          <w:color w:val="000000"/>
          <w:sz w:val="22"/>
          <w:szCs w:val="22"/>
        </w:rPr>
        <w:t xml:space="preserve">Le bouton Export RTM for OpenMusic génère le fichier scores/rtm_ferneyhough.lisp, contenant un arbre rythmique hiérarchique à trois niveaux pour chaque champ. L’arbre suit le format natif de la classe voice d’OpenMusic 8 et implémente le principe ferneyhoughien de durée absolue invariante par des signatures temporelles irrégulières avec BPM locaux.</w:t>
      </w:r>
    </w:p>
    <w:p>
      <w:pPr>
        <w:spacing w:after="80" w:before="240"/>
      </w:pPr>
      <w:r>
        <w:rPr>
          <w:rFonts w:ascii="Arial" w:cs="Arial" w:eastAsia="Arial" w:hAnsi="Arial"/>
          <w:b/>
          <w:bCs/>
          <w:sz w:val="22"/>
          <w:szCs w:val="22"/>
        </w:rPr>
        <w:t xml:space="preserve">Niveau 1 — Signature de mesure</w:t>
      </w:r>
    </w:p>
    <w:p>
      <w:pPr>
        <w:spacing w:after="160" w:before="0"/>
      </w:pPr>
      <w:r>
        <w:rPr>
          <w:rFonts w:ascii="Arial" w:cs="Arial" w:eastAsia="Arial" w:hAnsi="Arial"/>
          <w:color w:val="000000"/>
          <w:sz w:val="22"/>
          <w:szCs w:val="22"/>
        </w:rPr>
        <w:t xml:space="preserve">Chaque cellule brownienne devient une mesure de signature (n d), d ∈ {2, 4, 8, 16}, n ∈ [1, 16]. La signature est choisie en minimisant l’écart par rapport au BPM global du geste :</w:t>
      </w:r>
    </w:p>
    <w:p>
      <w:pPr>
        <w:spacing w:after="60" w:before="60"/>
        <w:ind w:left="720"/>
      </w:pPr>
      <w:r>
        <w:rPr>
          <w:rFonts w:ascii="Courier New" w:cs="Courier New" w:eastAsia="Courier New" w:hAnsi="Courier New"/>
          <w:color w:val="1F4E79"/>
          <w:sz w:val="20"/>
          <w:szCs w:val="20"/>
        </w:rPr>
        <w:t xml:space="preserve">bpm_local = 240 × n / (dur_cellule_sec × d)</w:t>
      </w:r>
    </w:p>
    <w:p>
      <w:pPr>
        <w:spacing w:after="160" w:before="0"/>
      </w:pPr>
      <w:r>
        <w:rPr>
          <w:rFonts w:ascii="Arial" w:cs="Arial" w:eastAsia="Arial" w:hAnsi="Arial"/>
          <w:color w:val="000000"/>
          <w:sz w:val="22"/>
          <w:szCs w:val="22"/>
        </w:rPr>
        <w:t xml:space="preserve">La durée absolue de chaque cellule est proportionnelle à sa distance euclidienne cumulée par rapport à la distance totale du geste : dur_cellule = (dist_cellule / dist_totale) × g_dur. La partition utilise un seuil cumulatif (règle du point milieu). Cellules vides → silence (-1).</w:t>
      </w:r>
    </w:p>
    <w:p>
      <w:pPr>
        <w:spacing w:after="80" w:before="240"/>
      </w:pPr>
      <w:r>
        <w:rPr>
          <w:rFonts w:ascii="Arial" w:cs="Arial" w:eastAsia="Arial" w:hAnsi="Arial"/>
          <w:b/>
          <w:bCs/>
          <w:sz w:val="22"/>
          <w:szCs w:val="22"/>
        </w:rPr>
        <w:t xml:space="preserve">Niveau 2 — Subdivision de la mesure</w:t>
      </w:r>
    </w:p>
    <w:p>
      <w:pPr>
        <w:spacing w:after="160" w:before="0"/>
      </w:pPr>
      <w:r>
        <w:rPr>
          <w:rFonts w:ascii="Arial" w:cs="Arial" w:eastAsia="Arial" w:hAnsi="Arial"/>
          <w:color w:val="000000"/>
          <w:sz w:val="22"/>
          <w:szCs w:val="22"/>
        </w:rPr>
        <w:t xml:space="preserve">Les pas browniens dans la cellule sont pondérés proportionnellement à leurs distances euclidiennes et quantifiés avec dénominateur ≤8. La somme des poids est exacte par distribution de l’erreur d’arrondi (algorithme inspiré de Stern-Brocot).</w:t>
      </w:r>
    </w:p>
    <w:p>
      <w:pPr>
        <w:spacing w:after="80" w:before="240"/>
      </w:pPr>
      <w:r>
        <w:rPr>
          <w:rFonts w:ascii="Arial" w:cs="Arial" w:eastAsia="Arial" w:hAnsi="Arial"/>
          <w:b/>
          <w:bCs/>
          <w:sz w:val="22"/>
          <w:szCs w:val="22"/>
        </w:rPr>
        <w:t xml:space="preserve">Niveau 3 — Subdivision interne par la tension</w:t>
      </w:r>
    </w:p>
    <w:p>
      <w:pPr>
        <w:spacing w:after="160" w:before="0"/>
      </w:pPr>
      <w:r>
        <w:rPr>
          <w:rFonts w:ascii="Arial" w:cs="Arial" w:eastAsia="Arial" w:hAnsi="Arial"/>
          <w:color w:val="000000"/>
          <w:sz w:val="22"/>
          <w:szCs w:val="22"/>
        </w:rPr>
        <w:t xml:space="preserve">Chaque pas est subdivisé intérieurement selon sa valeur de tension_profile. L’irrégularité croît avec la tension, ce qui traduit une corrélation morphologique entre densité timbrique et densité rythmique :</w:t>
      </w:r>
    </w:p>
    <w:p>
      <w:pPr>
        <w:pStyle w:val="ListParagraph"/>
        <w:numPr>
          <w:ilvl w:val="0"/>
          <w:numId w:val="2"/>
        </w:numPr>
        <w:spacing w:after="40" w:before="40"/>
      </w:pPr>
      <w:r>
        <w:rPr>
          <w:rFonts w:ascii="Arial" w:cs="Arial" w:eastAsia="Arial" w:hAnsi="Arial"/>
          <w:sz w:val="22"/>
          <w:szCs w:val="22"/>
        </w:rPr>
        <w:t xml:space="preserve">tension ≤0.25 : note entière, aucune subdivision</w:t>
      </w:r>
    </w:p>
    <w:p>
      <w:pPr>
        <w:pStyle w:val="ListParagraph"/>
        <w:numPr>
          <w:ilvl w:val="0"/>
          <w:numId w:val="2"/>
        </w:numPr>
        <w:spacing w:after="40" w:before="40"/>
      </w:pPr>
      <w:r>
        <w:rPr>
          <w:rFonts w:ascii="Arial" w:cs="Arial" w:eastAsia="Arial" w:hAnsi="Arial"/>
          <w:sz w:val="22"/>
          <w:szCs w:val="22"/>
        </w:rPr>
        <w:t xml:space="preserve">tension 0.25–0.50 : 2–5 subdivisions quasi-uniformes</w:t>
      </w:r>
    </w:p>
    <w:p>
      <w:pPr>
        <w:pStyle w:val="ListParagraph"/>
        <w:numPr>
          <w:ilvl w:val="0"/>
          <w:numId w:val="2"/>
        </w:numPr>
        <w:spacing w:after="40" w:before="40"/>
      </w:pPr>
      <w:r>
        <w:rPr>
          <w:rFonts w:ascii="Arial" w:cs="Arial" w:eastAsia="Arial" w:hAnsi="Arial"/>
          <w:sz w:val="22"/>
          <w:szCs w:val="22"/>
        </w:rPr>
        <w:t xml:space="preserve">tension &gt;0.50 : 3–8 subdivisions, distribution exponentielle, préférence pour les dénominateurs impairs (3, 5, 7) qui produisent des triolets, quintolets, septolets</w:t>
      </w:r>
    </w:p>
    <w:p>
      <w:pPr>
        <w:spacing w:after="0" w:before="80"/>
      </w:pPr>
    </w:p>
    <w:p>
      <w:pPr>
        <w:spacing w:after="160" w:before="0"/>
      </w:pPr>
      <w:r>
        <w:rPr>
          <w:rFonts w:ascii="Arial" w:cs="Arial" w:eastAsia="Arial" w:hAnsi="Arial"/>
          <w:color w:val="000000"/>
          <w:sz w:val="22"/>
          <w:szCs w:val="22"/>
        </w:rPr>
        <w:t xml:space="preserve">Les subdivisions sont générées avec une graine déterministe par geste (gidx × 1000 + 7), garantissant la reproductibilité à partition égale. Le fichier généré est un objet voice natif d’OM 8 avec tempo par mesure au format format-omtempo.</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5. Présent Vivant (Husserl)</w:t>
      </w:r>
    </w:p>
    <w:p>
      <w:pPr>
        <w:pStyle w:val="Heading2"/>
        <w:spacing w:after="120" w:before="320"/>
      </w:pPr>
      <w:r>
        <w:rPr>
          <w:rFonts w:ascii="Arial" w:cs="Arial" w:eastAsia="Arial" w:hAnsi="Arial"/>
          <w:b/>
          <w:bCs/>
          <w:color w:val="595959"/>
          <w:sz w:val="26"/>
          <w:szCs w:val="26"/>
        </w:rPr>
        <w:t xml:space="preserve">5.1  Structure de la conscience temporelle</w:t>
      </w:r>
    </w:p>
    <w:p>
      <w:pPr>
        <w:spacing w:after="160" w:before="0"/>
      </w:pPr>
      <w:r>
        <w:rPr>
          <w:rFonts w:ascii="Arial" w:cs="Arial" w:eastAsia="Arial" w:hAnsi="Arial"/>
          <w:color w:val="000000"/>
          <w:sz w:val="22"/>
          <w:szCs w:val="22"/>
        </w:rPr>
        <w:t xml:space="preserve">L’architecture de la tension dans SuperCollider implémente la structure husserlienne du Lebendige Gegenwart — le présent vivant comme épaisseur temporelle comprenant trois moments inséparables : rétention (passé immédiat encore résonnant), impression primale (présent instantané), proténtion (futur imminent anticipé).</w:t>
      </w:r>
    </w:p>
    <w:p>
      <w:pPr>
        <w:spacing w:after="160" w:before="0"/>
      </w:pPr>
      <w:r>
        <w:rPr>
          <w:rFonts w:ascii="Arial" w:cs="Arial" w:eastAsia="Arial" w:hAnsi="Arial"/>
          <w:color w:val="000000"/>
          <w:sz w:val="22"/>
          <w:szCs w:val="22"/>
        </w:rPr>
        <w:t xml:space="preserve">Ce choix architectural répond à une question compositionnelle précise : comment faire en sorte que les transitions entre catégories timbriques portent mémoire du passé et anticipation de l’avenir, plutôt que d’être de simples changements d’état ? La réponse est structurelle : la tension est un flux continu et non un paramètre discret.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Moment husserlien</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Implémentation SC</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Poids</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Rétention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Moyenne exponentielle des 8 dernières valeurs de tension (~r_retentionValue)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Impression primale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Tension composite courante : score_tension × 0.6 + FluCoMa × 0.4</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Proténtion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Routine AppClock lisant brownian_score.json 2 secondes en avance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r>
    </w:tbl>
    <w:p>
      <w:pPr>
        <w:spacing w:after="0" w:before="80"/>
      </w:pPr>
    </w:p>
    <w:p>
      <w:pPr>
        <w:spacing w:after="60" w:before="60"/>
        <w:ind w:left="720"/>
      </w:pPr>
      <w:r>
        <w:rPr>
          <w:rFonts w:ascii="Courier New" w:cs="Courier New" w:eastAsia="Courier New" w:hAnsi="Courier New"/>
          <w:color w:val="1F4E79"/>
          <w:sz w:val="20"/>
          <w:szCs w:val="20"/>
        </w:rPr>
        <w:t xml:space="preserve">présent_vivant = impression × 0.60 + rétention × 0.25 + proténtion × 0.15</w:t>
      </w:r>
    </w:p>
    <w:p>
      <w:pPr>
        <w:spacing w:after="160" w:before="0"/>
      </w:pPr>
      <w:r>
        <w:rPr>
          <w:rFonts w:ascii="Arial" w:cs="Arial" w:eastAsia="Arial" w:hAnsi="Arial"/>
          <w:color w:val="000000"/>
          <w:sz w:val="22"/>
          <w:szCs w:val="22"/>
        </w:rPr>
        <w:t xml:space="preserve">La rétention utilise une moyenne exponentielle : les valeurs récentes pèsent plus. La proténtion anticipe la tension du prochain événement de la partition en le lisant depuis le JSON 2 secondes avant sa réalisation sonore. Les transitions de catégorie sont toujours dans un mouvement continu : le système est déjà en mouvement vers la catégorie suivante avant de l’avoir atteinte.</w:t>
      </w:r>
    </w:p>
    <w:p>
      <w:pPr>
        <w:pStyle w:val="Heading2"/>
        <w:spacing w:after="120" w:before="320"/>
      </w:pPr>
      <w:r>
        <w:rPr>
          <w:rFonts w:ascii="Arial" w:cs="Arial" w:eastAsia="Arial" w:hAnsi="Arial"/>
          <w:b/>
          <w:bCs/>
          <w:color w:val="595959"/>
          <w:sz w:val="26"/>
          <w:szCs w:val="26"/>
        </w:rPr>
        <w:t xml:space="preserve">5.2  Analyse FluCoMa en temps réel</w:t>
      </w:r>
    </w:p>
    <w:p>
      <w:pPr>
        <w:spacing w:after="160" w:before="0"/>
      </w:pPr>
      <w:r>
        <w:rPr>
          <w:rFonts w:ascii="Arial" w:cs="Arial" w:eastAsia="Arial" w:hAnsi="Arial"/>
          <w:color w:val="000000"/>
          <w:sz w:val="22"/>
          <w:szCs w:val="22"/>
        </w:rPr>
        <w:t xml:space="preserve">Le module remnant_flucos.scd utilise FluidLoudness et FluidSpectralShape pour extraire en temps réel la loudness RMS et le centroide spectral du signal orchestral entrant. Ces valeurs contribuent à 40 % de la tension composite (impression primale), rendant la tension sensible à l’état timbrique réel de l’orchestre indépendamment de la partition :</w:t>
      </w:r>
    </w:p>
    <w:p>
      <w:pPr>
        <w:spacing w:after="60" w:before="60"/>
        <w:ind w:left="720"/>
      </w:pPr>
      <w:r>
        <w:rPr>
          <w:rFonts w:ascii="Courier New" w:cs="Courier New" w:eastAsia="Courier New" w:hAnsi="Courier New"/>
          <w:color w:val="1F4E79"/>
          <w:sz w:val="20"/>
          <w:szCs w:val="20"/>
        </w:rPr>
        <w:t xml:space="preserve">flucos_tension = 0.5 × norm(loudness) + 0.5 × norm(centroide)</w:t>
      </w:r>
    </w:p>
    <w:p>
      <w:pPr>
        <w:spacing w:after="60" w:before="60"/>
        <w:ind w:left="720"/>
      </w:pPr>
      <w:r>
        <w:rPr>
          <w:rFonts w:ascii="Courier New" w:cs="Courier New" w:eastAsia="Courier New" w:hAnsi="Courier New"/>
          <w:color w:val="1F4E79"/>
          <w:sz w:val="20"/>
          <w:szCs w:val="20"/>
        </w:rPr>
        <w:t xml:space="preserve">composite = score_tension × 0.6 + flucos_tension × 0.4</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6. Chaîne du Signal</w:t>
      </w:r>
    </w:p>
    <w:p>
      <w:pPr>
        <w:pStyle w:val="Heading2"/>
        <w:spacing w:after="120" w:before="320"/>
      </w:pPr>
      <w:r>
        <w:rPr>
          <w:rFonts w:ascii="Arial" w:cs="Arial" w:eastAsia="Arial" w:hAnsi="Arial"/>
          <w:b/>
          <w:bCs/>
          <w:color w:val="595959"/>
          <w:sz w:val="26"/>
          <w:szCs w:val="26"/>
        </w:rPr>
        <w:t xml:space="preserve">6.1  Pipeline de masquage (Lerdahl)</w:t>
      </w:r>
    </w:p>
    <w:p>
      <w:pPr>
        <w:spacing w:after="160" w:before="0"/>
      </w:pPr>
      <w:r>
        <w:rPr>
          <w:rFonts w:ascii="Arial" w:cs="Arial" w:eastAsia="Arial" w:hAnsi="Arial"/>
          <w:color w:val="000000"/>
          <w:sz w:val="22"/>
          <w:szCs w:val="22"/>
        </w:rPr>
        <w:t xml:space="preserve">Le moteur de convolution implémente le masquage progressif de la source orchestrale selon la hiérarchie timbrique de Lerdahl. La notion de masquage timbrique rejoint ici celle de fusion spectrale de la musique spectrale (Murail, Grisey) : à haute tension, la source perd son identité propre pour se fondre dans le son électronique traité, créant une continuité entre l’acoustique et le numérique.</w:t>
      </w:r>
    </w:p>
    <w:p>
      <w:pPr>
        <w:spacing w:after="160" w:before="0"/>
      </w:pPr>
      <w:r>
        <w:rPr>
          <w:rFonts w:ascii="Arial" w:cs="Arial" w:eastAsia="Arial" w:hAnsi="Arial"/>
          <w:color w:val="000000"/>
          <w:sz w:val="22"/>
          <w:szCs w:val="22"/>
        </w:rPr>
        <w:t xml:space="preserve">La chaîne opère en série sur chaque champ : PitchShift → Convolution2 → FreqShift → BPF. La source sèche est multipliée par (1 − tension)^1.5 — pas mélangée : substitution progressive, non mixage.</w:t>
      </w:r>
    </w:p>
    <w:p>
      <w:pPr>
        <w:pStyle w:val="Heading2"/>
        <w:spacing w:after="120" w:before="320"/>
      </w:pPr>
      <w:r>
        <w:rPr>
          <w:rFonts w:ascii="Arial" w:cs="Arial" w:eastAsia="Arial" w:hAnsi="Arial"/>
          <w:b/>
          <w:bCs/>
          <w:color w:val="595959"/>
          <w:sz w:val="26"/>
          <w:szCs w:val="26"/>
        </w:rPr>
        <w:t xml:space="preserve">6.2  Catégories IR (Lachenmann)</w:t>
      </w:r>
    </w:p>
    <w:p>
      <w:pPr>
        <w:spacing w:after="160" w:before="0"/>
      </w:pPr>
      <w:r>
        <w:rPr>
          <w:rFonts w:ascii="Arial" w:cs="Arial" w:eastAsia="Arial" w:hAnsi="Arial"/>
          <w:color w:val="000000"/>
          <w:sz w:val="22"/>
          <w:szCs w:val="22"/>
        </w:rPr>
        <w:t xml:space="preserve">Les sept catégories de Lachenmann (Klang, Farbklang, Geräusch, Kadenz, Textur, Stille, Neutro) déterminent le caractère de l’IR procédural appliqué à chaque champ. Tous les champs partagent le même IR (l’orchestre comme corps unique)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Caractère spectral de l’IR</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Décalage fréq. max</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Q BPF</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Partiels harmoniques purs, longue réverberation</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Rapports inharmoniques (φ, √2, √3…)</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Bruit large bande + bandes filtrées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 d’impulsions périodiques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Modulation FM lente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Quasi-impulsion, transparence maximale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Résonance neutre + léger bruit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7. Espace et Diffusion</w:t>
      </w:r>
    </w:p>
    <w:p>
      <w:pPr>
        <w:spacing w:after="160" w:before="0"/>
      </w:pPr>
      <w:r>
        <w:rPr>
          <w:rFonts w:ascii="Arial" w:cs="Arial" w:eastAsia="Arial" w:hAnsi="Arial"/>
          <w:color w:val="000000"/>
          <w:sz w:val="22"/>
          <w:szCs w:val="22"/>
        </w:rPr>
        <w:t xml:space="preserve">Chaque événement du parcours brownien possède un angle azimutal (0–360°) calculé depuis la coordonnée Y dans l’espace UMAP : azimut = (Y − Y_min) / (Y_max − Y_min) × 360°. Le panoramique octophonique est implémenté par VBAP à huit canaux (ITU-R BS.775).</w:t>
      </w:r>
    </w:p>
    <w:p>
      <w:pPr>
        <w:spacing w:after="160" w:before="0"/>
      </w:pPr>
      <w:r>
        <w:rPr>
          <w:rFonts w:ascii="Arial" w:cs="Arial" w:eastAsia="Arial" w:hAnsi="Arial"/>
          <w:color w:val="000000"/>
          <w:sz w:val="22"/>
          <w:szCs w:val="22"/>
        </w:rPr>
        <w:t xml:space="preserve">Le principe compositionnel est que la localisation spatiale d’un son émerge directement de sa position dans l’espace timbrique : des sons timbriquement proches tendent à occuper des positions azimutales similaires. L’espace physique de la diffusion est une projection de l’espace timbrique — une idée présente dans les travaux de Risset et Saariaho sur la spatialisation du timbre.</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8. Partition Graphique</w:t>
      </w:r>
    </w:p>
    <w:p>
      <w:pPr>
        <w:spacing w:after="160" w:before="0"/>
      </w:pPr>
      <w:r>
        <w:rPr>
          <w:rFonts w:ascii="Arial" w:cs="Arial" w:eastAsia="Arial" w:hAnsi="Arial"/>
          <w:color w:val="000000"/>
          <w:sz w:val="22"/>
          <w:szCs w:val="22"/>
        </w:rPr>
        <w:t xml:space="preserve">La partition est générée dans Plotly/Dash. Chaque champ est représenté sur un axe azimutal (0–360°). La notation s’inspire de la partition proportionnelle de Feldman et de la notation morphologique de Lachenmann :</w:t>
      </w:r>
    </w:p>
    <w:p>
      <w:pPr>
        <w:pStyle w:val="ListParagraph"/>
        <w:numPr>
          <w:ilvl w:val="0"/>
          <w:numId w:val="2"/>
        </w:numPr>
        <w:spacing w:after="40" w:before="40"/>
      </w:pPr>
      <w:r>
        <w:rPr>
          <w:rFonts w:ascii="Arial" w:cs="Arial" w:eastAsia="Arial" w:hAnsi="Arial"/>
          <w:sz w:val="22"/>
          <w:szCs w:val="22"/>
        </w:rPr>
        <w:t xml:space="preserve">Portée à 5 lignes centrée sur l’azimut de chaque événement</w:t>
      </w:r>
    </w:p>
    <w:p>
      <w:pPr>
        <w:pStyle w:val="ListParagraph"/>
        <w:numPr>
          <w:ilvl w:val="0"/>
          <w:numId w:val="2"/>
        </w:numPr>
        <w:spacing w:after="40" w:before="40"/>
      </w:pPr>
      <w:r>
        <w:rPr>
          <w:rFonts w:ascii="Arial" w:cs="Arial" w:eastAsia="Arial" w:hAnsi="Arial"/>
          <w:sz w:val="22"/>
          <w:szCs w:val="22"/>
        </w:rPr>
        <w:t xml:space="preserve">Tête de note (symbole par catégorie Lachenmann : ● Klang, ○ Farbklang, ■ Geräusch, ◆ Kadenz, + Textur) sur l’onset</w:t>
      </w:r>
    </w:p>
    <w:p>
      <w:pPr>
        <w:pStyle w:val="ListParagraph"/>
        <w:numPr>
          <w:ilvl w:val="0"/>
          <w:numId w:val="2"/>
        </w:numPr>
        <w:spacing w:after="40" w:before="40"/>
      </w:pPr>
      <w:r>
        <w:rPr>
          <w:rFonts w:ascii="Arial" w:cs="Arial" w:eastAsia="Arial" w:hAnsi="Arial"/>
          <w:sz w:val="22"/>
          <w:szCs w:val="22"/>
        </w:rPr>
        <w:t xml:space="preserve">Ligne de durée avec terminateur vertical</w:t>
      </w:r>
    </w:p>
    <w:p>
      <w:pPr>
        <w:pStyle w:val="ListParagraph"/>
        <w:numPr>
          <w:ilvl w:val="0"/>
          <w:numId w:val="2"/>
        </w:numPr>
        <w:spacing w:after="40" w:before="40"/>
      </w:pPr>
      <w:r>
        <w:rPr>
          <w:rFonts w:ascii="Arial" w:cs="Arial" w:eastAsia="Arial" w:hAnsi="Arial"/>
          <w:sz w:val="22"/>
          <w:szCs w:val="22"/>
        </w:rPr>
        <w:t xml:space="preserve">Nuance en italique dérivée du tension_profile (ppp…fff)</w:t>
      </w:r>
    </w:p>
    <w:p>
      <w:pPr>
        <w:pStyle w:val="ListParagraph"/>
        <w:numPr>
          <w:ilvl w:val="0"/>
          <w:numId w:val="2"/>
        </w:numPr>
        <w:spacing w:after="40" w:before="40"/>
      </w:pPr>
      <w:r>
        <w:rPr>
          <w:rFonts w:ascii="Arial" w:cs="Arial" w:eastAsia="Arial" w:hAnsi="Arial"/>
          <w:sz w:val="22"/>
          <w:szCs w:val="22"/>
        </w:rPr>
        <w:t xml:space="preserve">Décalage alterné ±14° pour les événements à azimut coïncident</w:t>
      </w:r>
    </w:p>
    <w:p>
      <w:pPr>
        <w:pStyle w:val="ListParagraph"/>
        <w:numPr>
          <w:ilvl w:val="0"/>
          <w:numId w:val="2"/>
        </w:numPr>
        <w:spacing w:after="40" w:before="40"/>
      </w:pPr>
      <w:r>
        <w:rPr>
          <w:rFonts w:ascii="Arial" w:cs="Arial" w:eastAsia="Arial" w:hAnsi="Arial"/>
          <w:sz w:val="22"/>
          <w:szCs w:val="22"/>
        </w:rPr>
        <w:t xml:space="preserve">Filigrane F.N semi-transparent (numéro de champ)</w:t>
      </w:r>
    </w:p>
    <w:p>
      <w:pPr>
        <w:pStyle w:val="ListParagraph"/>
        <w:numPr>
          <w:ilvl w:val="0"/>
          <w:numId w:val="2"/>
        </w:numPr>
        <w:spacing w:after="40" w:before="40"/>
      </w:pPr>
      <w:r>
        <w:rPr>
          <w:rFonts w:ascii="Arial" w:cs="Arial" w:eastAsia="Arial" w:hAnsi="Arial"/>
          <w:sz w:val="22"/>
          <w:szCs w:val="22"/>
        </w:rPr>
        <w:t xml:space="preserve">Lien ConTimbre : clic sur l’événement ouvre la page HTML de l’instrument</w:t>
      </w:r>
    </w:p>
    <w:p>
      <w:pPr>
        <w:pStyle w:val="ListParagraph"/>
        <w:numPr>
          <w:ilvl w:val="0"/>
          <w:numId w:val="2"/>
        </w:numPr>
        <w:spacing w:after="40" w:before="40"/>
      </w:pPr>
      <w:r>
        <w:rPr>
          <w:rFonts w:ascii="Arial" w:cs="Arial" w:eastAsia="Arial" w:hAnsi="Arial"/>
          <w:sz w:val="22"/>
          <w:szCs w:val="22"/>
        </w:rPr>
        <w:t xml:space="preserve">Export SVG vectoriel éditable (Illustrator/Inkscape)</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9. Références</w:t>
      </w:r>
    </w:p>
    <w:p>
      <w:pPr>
        <w:spacing w:after="100" w:before="60"/>
      </w:pPr>
      <w:r>
        <w:rPr>
          <w:rFonts w:ascii="Arial" w:cs="Arial" w:eastAsia="Arial" w:hAnsi="Arial"/>
          <w:b/>
          <w:bCs/>
          <w:sz w:val="22"/>
          <w:szCs w:val="22"/>
        </w:rPr>
        <w:t xml:space="preserve">Ferneyhough, B.  </w:t>
      </w:r>
      <w:r>
        <w:rPr>
          <w:rFonts w:ascii="Arial" w:cs="Arial" w:eastAsia="Arial" w:hAnsi="Arial"/>
          <w:sz w:val="22"/>
          <w:szCs w:val="22"/>
        </w:rPr>
        <w:t xml:space="preserve">Collected Writings. Éd. J. Boros &amp; R. Toop. Harwood Academic, 1995.</w:t>
      </w:r>
    </w:p>
    <w:p>
      <w:pPr>
        <w:spacing w:after="100" w:before="60"/>
      </w:pPr>
      <w:r>
        <w:rPr>
          <w:rFonts w:ascii="Arial" w:cs="Arial" w:eastAsia="Arial" w:hAnsi="Arial"/>
          <w:b/>
          <w:bCs/>
          <w:sz w:val="22"/>
          <w:szCs w:val="22"/>
        </w:rPr>
        <w:t xml:space="preserve">Grisey, G.  </w:t>
      </w:r>
      <w:r>
        <w:rPr>
          <w:rFonts w:ascii="Arial" w:cs="Arial" w:eastAsia="Arial" w:hAnsi="Arial"/>
          <w:sz w:val="22"/>
          <w:szCs w:val="22"/>
        </w:rPr>
        <w:t xml:space="preserve">Écrits ou l’invention de la musique spectrale. MF Editions, 2008.</w:t>
      </w:r>
    </w:p>
    <w:p>
      <w:pPr>
        <w:spacing w:after="100" w:before="60"/>
      </w:pPr>
      <w:r>
        <w:rPr>
          <w:rFonts w:ascii="Arial" w:cs="Arial" w:eastAsia="Arial" w:hAnsi="Arial"/>
          <w:b/>
          <w:bCs/>
          <w:sz w:val="22"/>
          <w:szCs w:val="22"/>
        </w:rPr>
        <w:t xml:space="preserve">Grill, T.  </w:t>
      </w:r>
      <w:r>
        <w:rPr>
          <w:rFonts w:ascii="Arial" w:cs="Arial" w:eastAsia="Arial" w:hAnsi="Arial"/>
          <w:sz w:val="22"/>
          <w:szCs w:val="22"/>
        </w:rPr>
        <w:t xml:space="preserve">ConTimbre : A Corpus of Contemporary Orchestral Timbres. 2023. contimbre.com</w:t>
      </w:r>
    </w:p>
    <w:p>
      <w:pPr>
        <w:spacing w:after="100" w:before="60"/>
      </w:pPr>
      <w:r>
        <w:rPr>
          <w:rFonts w:ascii="Arial" w:cs="Arial" w:eastAsia="Arial" w:hAnsi="Arial"/>
          <w:b/>
          <w:bCs/>
          <w:sz w:val="22"/>
          <w:szCs w:val="22"/>
        </w:rPr>
        <w:t xml:space="preserve">Husserl, E.  </w:t>
      </w:r>
      <w:r>
        <w:rPr>
          <w:rFonts w:ascii="Arial" w:cs="Arial" w:eastAsia="Arial" w:hAnsi="Arial"/>
          <w:sz w:val="22"/>
          <w:szCs w:val="22"/>
        </w:rPr>
        <w:t xml:space="preserve">Zur Phänomenologie des inneren Zeitbewusstseins (1893–1917). Husserliana X. Nijhoff, 1966.</w:t>
      </w:r>
    </w:p>
    <w:p>
      <w:pPr>
        <w:spacing w:after="100" w:before="60"/>
      </w:pPr>
      <w:r>
        <w:rPr>
          <w:rFonts w:ascii="Arial" w:cs="Arial" w:eastAsia="Arial" w:hAnsi="Arial"/>
          <w:b/>
          <w:bCs/>
          <w:sz w:val="22"/>
          <w:szCs w:val="22"/>
        </w:rPr>
        <w:t xml:space="preserve">Lachenmann, H.  </w:t>
      </w:r>
      <w:r>
        <w:rPr>
          <w:rFonts w:ascii="Arial" w:cs="Arial" w:eastAsia="Arial" w:hAnsi="Arial"/>
          <w:sz w:val="22"/>
          <w:szCs w:val="22"/>
        </w:rPr>
        <w:t xml:space="preserve">Musik als existentielle Erfahrung. Breitkopf &amp; Härtel, 1996.</w:t>
      </w:r>
    </w:p>
    <w:p>
      <w:pPr>
        <w:spacing w:after="100" w:before="60"/>
      </w:pPr>
      <w:r>
        <w:rPr>
          <w:rFonts w:ascii="Arial" w:cs="Arial" w:eastAsia="Arial" w:hAnsi="Arial"/>
          <w:b/>
          <w:bCs/>
          <w:sz w:val="22"/>
          <w:szCs w:val="22"/>
        </w:rPr>
        <w:t xml:space="preserve">Lerdahl, F.  </w:t>
      </w:r>
      <w:r>
        <w:rPr>
          <w:rFonts w:ascii="Arial" w:cs="Arial" w:eastAsia="Arial" w:hAnsi="Arial"/>
          <w:sz w:val="22"/>
          <w:szCs w:val="22"/>
        </w:rPr>
        <w:t xml:space="preserve">Tonal Pitch Space. Oxford University Press, 2001.</w:t>
      </w:r>
    </w:p>
    <w:p>
      <w:pPr>
        <w:spacing w:after="100" w:before="60"/>
      </w:pPr>
      <w:r>
        <w:rPr>
          <w:rFonts w:ascii="Arial" w:cs="Arial" w:eastAsia="Arial" w:hAnsi="Arial"/>
          <w:b/>
          <w:bCs/>
          <w:sz w:val="22"/>
          <w:szCs w:val="22"/>
        </w:rPr>
        <w:t xml:space="preserve">McAdams, S.  </w:t>
      </w:r>
      <w:r>
        <w:rPr>
          <w:rFonts w:ascii="Arial" w:cs="Arial" w:eastAsia="Arial" w:hAnsi="Arial"/>
          <w:sz w:val="22"/>
          <w:szCs w:val="22"/>
        </w:rPr>
        <w:t xml:space="preserve">Recognition of auditory sound sources and events. In S. McAdams &amp; E. Bigand (éds.), Thinking in Sound. Oxford, 1993.</w:t>
      </w:r>
    </w:p>
    <w:p>
      <w:pPr>
        <w:spacing w:after="100" w:before="60"/>
      </w:pPr>
      <w:r>
        <w:rPr>
          <w:rFonts w:ascii="Arial" w:cs="Arial" w:eastAsia="Arial" w:hAnsi="Arial"/>
          <w:b/>
          <w:bCs/>
          <w:sz w:val="22"/>
          <w:szCs w:val="22"/>
        </w:rPr>
        <w:t xml:space="preserve">Murail, T.  </w:t>
      </w:r>
      <w:r>
        <w:rPr>
          <w:rFonts w:ascii="Arial" w:cs="Arial" w:eastAsia="Arial" w:hAnsi="Arial"/>
          <w:sz w:val="22"/>
          <w:szCs w:val="22"/>
        </w:rPr>
        <w:t xml:space="preserve">États, seuils, transitions. Entretemps, 1984.</w:t>
      </w:r>
    </w:p>
    <w:p>
      <w:pPr>
        <w:spacing w:after="100" w:before="60"/>
      </w:pPr>
      <w:r>
        <w:rPr>
          <w:rFonts w:ascii="Arial" w:cs="Arial" w:eastAsia="Arial" w:hAnsi="Arial"/>
          <w:b/>
          <w:bCs/>
          <w:sz w:val="22"/>
          <w:szCs w:val="22"/>
        </w:rPr>
        <w:t xml:space="preserve">Risset, J.-C.  </w:t>
      </w:r>
      <w:r>
        <w:rPr>
          <w:rFonts w:ascii="Arial" w:cs="Arial" w:eastAsia="Arial" w:hAnsi="Arial"/>
          <w:sz w:val="22"/>
          <w:szCs w:val="22"/>
        </w:rPr>
        <w:t xml:space="preserve">Synthèse et analyse des sons musicaux. IRCAM, 1985.</w:t>
      </w:r>
    </w:p>
    <w:p>
      <w:pPr>
        <w:spacing w:after="100" w:before="60"/>
      </w:pPr>
      <w:r>
        <w:rPr>
          <w:rFonts w:ascii="Arial" w:cs="Arial" w:eastAsia="Arial" w:hAnsi="Arial"/>
          <w:b/>
          <w:bCs/>
          <w:sz w:val="22"/>
          <w:szCs w:val="22"/>
        </w:rPr>
        <w:t xml:space="preserve">Saariaho, K.  </w:t>
      </w:r>
      <w:r>
        <w:rPr>
          <w:rFonts w:ascii="Arial" w:cs="Arial" w:eastAsia="Arial" w:hAnsi="Arial"/>
          <w:sz w:val="22"/>
          <w:szCs w:val="22"/>
        </w:rPr>
        <w:t xml:space="preserve">Timbre and harmony. Contemporary Music Review, 1987.</w:t>
      </w:r>
    </w:p>
    <w:p>
      <w:pPr>
        <w:spacing w:after="100" w:before="60"/>
      </w:pPr>
      <w:r>
        <w:rPr>
          <w:rFonts w:ascii="Arial" w:cs="Arial" w:eastAsia="Arial" w:hAnsi="Arial"/>
          <w:b/>
          <w:bCs/>
          <w:sz w:val="22"/>
          <w:szCs w:val="22"/>
        </w:rPr>
        <w:t xml:space="preserve">Thoresen, L.  </w:t>
      </w:r>
      <w:r>
        <w:rPr>
          <w:rFonts w:ascii="Arial" w:cs="Arial" w:eastAsia="Arial" w:hAnsi="Arial"/>
          <w:sz w:val="22"/>
          <w:szCs w:val="22"/>
        </w:rPr>
        <w:t xml:space="preserve">Aural Sonology. Oslo : Norwegian Academy of Music, 2015. Ch. 8.</w:t>
      </w:r>
    </w:p>
    <w:p>
      <w:pPr>
        <w:spacing w:after="100" w:before="60"/>
      </w:pPr>
      <w:r>
        <w:rPr>
          <w:rFonts w:ascii="Arial" w:cs="Arial" w:eastAsia="Arial" w:hAnsi="Arial"/>
          <w:b/>
          <w:bCs/>
          <w:sz w:val="22"/>
          <w:szCs w:val="22"/>
        </w:rPr>
        <w:t xml:space="preserve">Tremblay, P.A. et al.  </w:t>
      </w:r>
      <w:r>
        <w:rPr>
          <w:rFonts w:ascii="Arial" w:cs="Arial" w:eastAsia="Arial" w:hAnsi="Arial"/>
          <w:sz w:val="22"/>
          <w:szCs w:val="22"/>
        </w:rPr>
        <w:t xml:space="preserve">FluCoMa : Fluid Corpus Manipulation Toolbox. ICMC,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2026-06-11T18:11:38.439Z</dcterms:created>
  <dcterms:modified xsi:type="dcterms:W3CDTF">2026-06-11T18:11:38.440Z</dcterms:modified>
</cp:coreProperties>
</file>

<file path=docProps/custom.xml><?xml version="1.0" encoding="utf-8"?>
<Properties xmlns="http://schemas.openxmlformats.org/officeDocument/2006/custom-properties" xmlns:vt="http://schemas.openxmlformats.org/officeDocument/2006/docPropsVTypes"/>
</file>