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REMNANT</w:t>
      </w:r>
    </w:p>
    <w:p>
      <w:pPr>
        <w:spacing w:after="120" w:before="0"/>
        <w:jc w:val="center"/>
      </w:pPr>
      <w:r>
        <w:rPr>
          <w:rFonts w:ascii="Arial" w:cs="Arial" w:eastAsia="Arial" w:hAnsi="Arial"/>
          <w:i/>
          <w:iCs/>
          <w:color w:val="595959"/>
          <w:sz w:val="28"/>
          <w:szCs w:val="28"/>
        </w:rPr>
        <w:t xml:space="preserve">Tracce sonore di un mondo non-umano</w:t>
      </w:r>
    </w:p>
    <w:p>
      <w:pPr>
        <w:pBdr>
          <w:bottom w:val="single" w:color="DDDDDD" w:sz="6" w:space="1"/>
        </w:pBdr>
        <w:spacing w:after="240" w:before="240"/>
      </w:pPr>
    </w:p>
    <w:p>
      <w:pPr>
        <w:spacing w:after="80" w:before="80"/>
        <w:jc w:val="center"/>
      </w:pPr>
      <w:r>
        <w:rPr>
          <w:rFonts w:ascii="Arial" w:cs="Arial" w:eastAsia="Arial" w:hAnsi="Arial"/>
          <w:color w:val="595959"/>
          <w:sz w:val="22"/>
          <w:szCs w:val="22"/>
        </w:rPr>
        <w:t xml:space="preserve">Note teoriche e tecniche</w:t>
      </w:r>
    </w:p>
    <w:p>
      <w:pPr>
        <w:spacing w:after="2880" w:before="80"/>
        <w:jc w:val="center"/>
      </w:pPr>
      <w:r>
        <w:rPr>
          <w:rFonts w:ascii="Arial" w:cs="Arial" w:eastAsia="Arial" w:hAnsi="Arial"/>
          <w:color w:val="595959"/>
          <w:sz w:val="22"/>
          <w:szCs w:val="22"/>
        </w:rPr>
        <w:t xml:space="preserve">v4  —  2025–2026</w:t>
      </w:r>
    </w:p>
    <w:p>
      <w:pPr>
        <w:pStyle w:val="Heading1"/>
        <w:spacing w:after="160" w:before="480"/>
      </w:pPr>
      <w:r>
        <w:rPr>
          <w:rFonts w:ascii="Arial" w:cs="Arial" w:eastAsia="Arial" w:hAnsi="Arial"/>
          <w:b/>
          <w:bCs/>
          <w:color w:val="1F4E79"/>
          <w:sz w:val="32"/>
          <w:szCs w:val="32"/>
        </w:rPr>
        <w:t xml:space="preserve">0. Panoramica del sistema</w:t>
      </w:r>
    </w:p>
    <w:p>
      <w:pPr>
        <w:spacing w:after="160" w:before="0"/>
      </w:pPr>
      <w:r>
        <w:rPr>
          <w:rFonts w:ascii="Arial" w:cs="Arial" w:eastAsia="Arial" w:hAnsi="Arial"/>
          <w:color w:val="000000"/>
          <w:sz w:val="22"/>
          <w:szCs w:val="22"/>
        </w:rPr>
        <w:t xml:space="preserve">Remnant è un sistema di composizione acusmatica multicanale ed elettronica dal vivo per orchestra e diffusione ottofonica a 8 canali. Il progetto nasce da una prospettiva biocentrica sull’Antropocene: i suoni strumentali vengono trattati come tracce di un mondo che continua a esistere indipendentemente dalla presenza umana.</w:t>
      </w:r>
    </w:p>
    <w:p>
      <w:pPr>
        <w:spacing w:after="160" w:before="0"/>
      </w:pPr>
      <w:r>
        <w:rPr>
          <w:rFonts w:ascii="Arial" w:cs="Arial" w:eastAsia="Arial" w:hAnsi="Arial"/>
          <w:color w:val="000000"/>
          <w:sz w:val="22"/>
          <w:szCs w:val="22"/>
        </w:rPr>
        <w:t xml:space="preserve">Il motore compositivo naviga lo spazio timbrico orchestrale tramite moto browniano in uno spazio UMAP costruito sul corpus ConTimbre. In concerto, l’elettronica ascolta l’orchestra in tempo reale, trasformandone il segnale attraverso una pipeline di mascheramento derivata dalla gerarchia timbrica di Lerdahl.</w:t>
      </w:r>
    </w:p>
    <w:p>
      <w:pPr>
        <w:spacing w:after="160" w:before="0"/>
      </w:pPr>
      <w:r>
        <w:rPr>
          <w:rFonts w:ascii="Arial" w:cs="Arial" w:eastAsia="Arial" w:hAnsi="Arial"/>
          <w:color w:val="000000"/>
          <w:sz w:val="22"/>
          <w:szCs w:val="22"/>
        </w:rPr>
        <w:t xml:space="preserve">Il progetto integra in un’unica architettura: selezione timbrica probabilistica (moto browniano nello spazio UMAP), direzioni temporali (Dynamic Forms di Thoresen), tensione timbrica (gerarchia di Lerdahl), presente vivente (fenomenologia husserliana implementata in SuperCollider), analisi spettrale in tempo reale (FluCoMa), e notazione proporzionale gerarchica per OpenMusic (sistema Ferneyhough).</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1. Spazio Timbrico</w:t>
      </w:r>
    </w:p>
    <w:p>
      <w:pPr>
        <w:pStyle w:val="Heading2"/>
        <w:spacing w:after="120" w:before="320"/>
      </w:pPr>
      <w:r>
        <w:rPr>
          <w:rFonts w:ascii="Arial" w:cs="Arial" w:eastAsia="Arial" w:hAnsi="Arial"/>
          <w:b/>
          <w:bCs/>
          <w:color w:val="595959"/>
          <w:sz w:val="26"/>
          <w:szCs w:val="26"/>
        </w:rPr>
        <w:t xml:space="preserve">1.1  Corpus e riduzione dimensionale</w:t>
      </w:r>
    </w:p>
    <w:p>
      <w:pPr>
        <w:spacing w:after="160" w:before="0"/>
      </w:pPr>
      <w:r>
        <w:rPr>
          <w:rFonts w:ascii="Arial" w:cs="Arial" w:eastAsia="Arial" w:hAnsi="Arial"/>
          <w:color w:val="000000"/>
          <w:sz w:val="22"/>
          <w:szCs w:val="22"/>
        </w:rPr>
        <w:t xml:space="preserve">Il corpus di base è ConTimbre Standard V2 (Thomas Grill, 2023), che raccoglie tecniche estese per orchestra sinfonica con descrittori acustici per ogni suono. Ogni suono è descritto da sei parametri: altezza (MIDI), dinamica (numerica), complessità spettrale, centroide spettrale, durata, intensità assoluta.</w:t>
      </w:r>
    </w:p>
    <w:p>
      <w:pPr>
        <w:spacing w:after="160" w:before="0"/>
      </w:pPr>
      <w:r>
        <w:rPr>
          <w:rFonts w:ascii="Arial" w:cs="Arial" w:eastAsia="Arial" w:hAnsi="Arial"/>
          <w:color w:val="000000"/>
          <w:sz w:val="22"/>
          <w:szCs w:val="22"/>
        </w:rPr>
        <w:t xml:space="preserve">La riduzione dimensionale avviene tramite UMAP (Uniform Manifold Approximation and Projection) con ponderazione percettiva derivata da McAdams (1993, 1999). Il centroide spettrale è la dimensione percettivamente più saliente e riceve il peso maggiore: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Descrittore</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Peso McAdams</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Motivazione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spectral_center</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Dimensione percettiva primaria (McAdams 1993)</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spectral_complexity</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Seconda dimensione saliente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pitch</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Rilevante ma secondario al timbro</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dynamic_num, duration, intensity</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Dimensioni di supporto</w:t>
            </w:r>
          </w:p>
        </w:tc>
      </w:tr>
    </w:tbl>
    <w:p>
      <w:pPr>
        <w:spacing w:after="0" w:before="80"/>
      </w:pPr>
    </w:p>
    <w:p>
      <w:pPr>
        <w:spacing w:after="160" w:before="0"/>
      </w:pPr>
      <w:r>
        <w:rPr>
          <w:rFonts w:ascii="Arial" w:cs="Arial" w:eastAsia="Arial" w:hAnsi="Arial"/>
          <w:color w:val="000000"/>
          <w:sz w:val="22"/>
          <w:szCs w:val="22"/>
        </w:rPr>
        <w:t xml:space="preserve">Il modello UMAP viene serializzato (umap_model.pkl, umap_scaler.pkl) per consentire la proiezione di file audio esterni nello spazio timbrico esistente, secondo un approccio analogo a Orchidea (Cella, Burred) e MaxOrch.</w:t>
      </w:r>
    </w:p>
    <w:p>
      <w:pPr>
        <w:pStyle w:val="Heading2"/>
        <w:spacing w:after="120" w:before="320"/>
      </w:pPr>
      <w:r>
        <w:rPr>
          <w:rFonts w:ascii="Arial" w:cs="Arial" w:eastAsia="Arial" w:hAnsi="Arial"/>
          <w:b/>
          <w:bCs/>
          <w:color w:val="595959"/>
          <w:sz w:val="26"/>
          <w:szCs w:val="26"/>
        </w:rPr>
        <w:t xml:space="preserve">1.2  Gerarchia timbrica di Lerdahl</w:t>
      </w:r>
    </w:p>
    <w:p>
      <w:pPr>
        <w:spacing w:after="160" w:before="0"/>
      </w:pPr>
      <w:r>
        <w:rPr>
          <w:rFonts w:ascii="Arial" w:cs="Arial" w:eastAsia="Arial" w:hAnsi="Arial"/>
          <w:color w:val="000000"/>
          <w:sz w:val="22"/>
          <w:szCs w:val="22"/>
        </w:rPr>
        <w:t xml:space="preserve">La tensione timbrica segue la gerarchia proposta da Lerdahl (2001) in Tonal Pitch Space, adattata al dominio timbrico: la distanza di un suono dalla regione stabile dello spazio UMAP è proporzionale alla tensione timbrica percepita. La tensione di campo è la volatilità browniana normalizzata su [0, 1].</w:t>
      </w:r>
    </w:p>
    <w:p>
      <w:pPr>
        <w:spacing w:after="160" w:before="0"/>
      </w:pPr>
      <w:r>
        <w:rPr>
          <w:rFonts w:ascii="Arial" w:cs="Arial" w:eastAsia="Arial" w:hAnsi="Arial"/>
          <w:color w:val="000000"/>
          <w:sz w:val="22"/>
          <w:szCs w:val="22"/>
        </w:rPr>
        <w:t xml:space="preserve">L’intera catena di elaborazione del segnale — pitch shift, convoluzione, frequency shift, filtro passa-banda — è parametrizzata da questo valore scalare. A tensione 1.0, la sorgente è completamente mascherata e irriconoscibile; la sorgente non viene mixata con il segnale elaborato, ma sostituita progressivamente: dry = (1 − tensione)^1.5.</w:t>
      </w:r>
    </w:p>
    <w:p>
      <w:pPr>
        <w:pStyle w:val="Heading2"/>
        <w:spacing w:after="120" w:before="320"/>
      </w:pPr>
      <w:r>
        <w:rPr>
          <w:rFonts w:ascii="Arial" w:cs="Arial" w:eastAsia="Arial" w:hAnsi="Arial"/>
          <w:b/>
          <w:bCs/>
          <w:color w:val="595959"/>
          <w:sz w:val="26"/>
          <w:szCs w:val="26"/>
        </w:rPr>
        <w:t xml:space="preserve">1.3  Selezione per immagine sonora</w:t>
      </w:r>
    </w:p>
    <w:p>
      <w:pPr>
        <w:spacing w:after="160" w:before="0"/>
      </w:pPr>
      <w:r>
        <w:rPr>
          <w:rFonts w:ascii="Arial" w:cs="Arial" w:eastAsia="Arial" w:hAnsi="Arial"/>
          <w:color w:val="000000"/>
          <w:sz w:val="22"/>
          <w:szCs w:val="22"/>
        </w:rPr>
        <w:t xml:space="preserve">In alternativa al moto browniano libero, il compositore può definire un’immagine sonora tramite quattro slider percettivi (centroide, texture, altezza, dinamica) e un parametro Breadth che controlla la percentuale di corpus selezionata. Il sistema seleziona gli N suoni più vicini usando la distanza euclidea ponderata McAdams:</w:t>
      </w:r>
    </w:p>
    <w:p>
      <w:pPr>
        <w:spacing w:after="60" w:before="60"/>
        <w:ind w:left="720"/>
      </w:pPr>
      <w:r>
        <w:rPr>
          <w:rFonts w:ascii="Courier New" w:cs="Courier New" w:eastAsia="Courier New" w:hAnsi="Courier New"/>
          <w:color w:val="1F4E79"/>
          <w:sz w:val="20"/>
          <w:szCs w:val="20"/>
        </w:rPr>
        <w:t xml:space="preserve">d = Σ W[k] × (descriptor[k] − target[k])²  /  Σ W[k]</w:t>
      </w:r>
    </w:p>
    <w:p>
      <w:pPr>
        <w:spacing w:after="160" w:before="0"/>
      </w:pPr>
      <w:r>
        <w:rPr>
          <w:rFonts w:ascii="Arial" w:cs="Arial" w:eastAsia="Arial" w:hAnsi="Arial"/>
          <w:color w:val="000000"/>
          <w:sz w:val="22"/>
          <w:szCs w:val="22"/>
        </w:rPr>
        <w:t xml:space="preserve">Il target può essere sostituito da un file audio esterno: estrazione delle feature spettrali con librosa, normalizzazione con lo scaler McAdams, proiezione nello spazio UMAP tramite umap_model.transform(). Le coordinate risultanti sostituiscono il centroide della Dynamic Form come attrattore del percorso browniano — un approccio analogo all’orchestrazione per target di Orchidea.</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2. Moto Browniano</w:t>
      </w:r>
    </w:p>
    <w:p>
      <w:pPr>
        <w:pStyle w:val="Heading2"/>
        <w:spacing w:after="120" w:before="320"/>
      </w:pPr>
      <w:r>
        <w:rPr>
          <w:rFonts w:ascii="Arial" w:cs="Arial" w:eastAsia="Arial" w:hAnsi="Arial"/>
          <w:b/>
          <w:bCs/>
          <w:color w:val="595959"/>
          <w:sz w:val="26"/>
          <w:szCs w:val="26"/>
        </w:rPr>
        <w:t xml:space="preserve">2.1  Percorso e distribuzione temporale</w:t>
      </w:r>
    </w:p>
    <w:p>
      <w:pPr>
        <w:spacing w:after="160" w:before="0"/>
      </w:pPr>
      <w:r>
        <w:rPr>
          <w:rFonts w:ascii="Arial" w:cs="Arial" w:eastAsia="Arial" w:hAnsi="Arial"/>
          <w:color w:val="000000"/>
          <w:sz w:val="22"/>
          <w:szCs w:val="22"/>
        </w:rPr>
        <w:t xml:space="preserve">Ogni campo è un percorso browniano autonomo nello spazio UMAP. Ad ogni passo il percorso si sposta di un vettore casuale con componente di deriva (dx, dy) e componente stocastica scalata dalla volatilità corrente:</w:t>
      </w:r>
    </w:p>
    <w:p>
      <w:pPr>
        <w:spacing w:after="60" w:before="60"/>
        <w:ind w:left="720"/>
      </w:pPr>
      <w:r>
        <w:rPr>
          <w:rFonts w:ascii="Courier New" w:cs="Courier New" w:eastAsia="Courier New" w:hAnsi="Courier New"/>
          <w:color w:val="1F4E79"/>
          <w:sz w:val="20"/>
          <w:szCs w:val="20"/>
        </w:rPr>
        <w:t xml:space="preserve">x_{n+1} = clip(x_n + dx + attraction·(x_attr − x_n) + volatility·U(−1,1))</w:t>
      </w:r>
    </w:p>
    <w:p>
      <w:pPr>
        <w:spacing w:after="160" w:before="0"/>
      </w:pPr>
      <w:r>
        <w:rPr>
          <w:rFonts w:ascii="Arial" w:cs="Arial" w:eastAsia="Arial" w:hAnsi="Arial"/>
          <w:color w:val="000000"/>
          <w:sz w:val="22"/>
          <w:szCs w:val="22"/>
        </w:rPr>
        <w:t xml:space="preserve">Le distanze euclidee inter-passo nello spazio UMAP diventano proporzioni temporali tramite integrazione cumulativa: la posizione temporale di ogni evento è t_frac = cum_dist / total_dist, mappata sulla durata del gesto. Passi geometricamente lunghi corrispondono a zone di maggiore mobilità timbrica e ricevono più tempo; passi brevi indicano stabilità timbrica locale.</w:t>
      </w:r>
    </w:p>
    <w:p>
      <w:pPr>
        <w:spacing w:after="160" w:before="0"/>
      </w:pPr>
      <w:r>
        <w:rPr>
          <w:rFonts w:ascii="Arial" w:cs="Arial" w:eastAsia="Arial" w:hAnsi="Arial"/>
          <w:color w:val="000000"/>
          <w:sz w:val="22"/>
          <w:szCs w:val="22"/>
        </w:rPr>
        <w:t xml:space="preserve">I parametri stocastici (volatilità, deriva) evolvono tra un gesto e l’altro secondo un processo di diffusione: ogni parametro aggiunge un incremento casuale scalato dal coefficiente drift_noise. Questo garantisce continuità processuale tra i gesti senza determinismo.</w:t>
      </w:r>
    </w:p>
    <w:p>
      <w:pPr>
        <w:pStyle w:val="Heading2"/>
        <w:spacing w:after="120" w:before="320"/>
      </w:pPr>
      <w:r>
        <w:rPr>
          <w:rFonts w:ascii="Arial" w:cs="Arial" w:eastAsia="Arial" w:hAnsi="Arial"/>
          <w:b/>
          <w:bCs/>
          <w:color w:val="595959"/>
          <w:sz w:val="26"/>
          <w:szCs w:val="26"/>
        </w:rPr>
        <w:t xml:space="preserve">2.2  Attrattori</w:t>
      </w:r>
    </w:p>
    <w:p>
      <w:pPr>
        <w:spacing w:after="160" w:before="0"/>
      </w:pPr>
      <w:r>
        <w:rPr>
          <w:rFonts w:ascii="Arial" w:cs="Arial" w:eastAsia="Arial" w:hAnsi="Arial"/>
          <w:color w:val="000000"/>
          <w:sz w:val="22"/>
          <w:szCs w:val="22"/>
        </w:rPr>
        <w:t xml:space="preserve">Il percorso browniano è attratto verso un centroide nello spazio UMAP con forza parametrizzabile (attraction slider). Due tipi di attrattori:</w:t>
      </w:r>
    </w:p>
    <w:p>
      <w:pPr>
        <w:pStyle w:val="ListParagraph"/>
        <w:numPr>
          <w:ilvl w:val="0"/>
          <w:numId w:val="2"/>
        </w:numPr>
        <w:spacing w:after="40" w:before="40"/>
      </w:pPr>
      <w:r>
        <w:rPr>
          <w:rFonts w:ascii="Arial" w:cs="Arial" w:eastAsia="Arial" w:hAnsi="Arial"/>
          <w:sz w:val="22"/>
          <w:szCs w:val="22"/>
        </w:rPr>
        <w:t xml:space="preserve">Dynamic Form (Thoresen): il centroide è calcolato come baricentro delle coordinate UMAP di tutti i suoni appartenenti alla categoria Lachenmann corrispondente alla direzione assegnata al campo.</w:t>
      </w:r>
    </w:p>
    <w:p>
      <w:pPr>
        <w:pStyle w:val="ListParagraph"/>
        <w:numPr>
          <w:ilvl w:val="0"/>
          <w:numId w:val="2"/>
        </w:numPr>
        <w:spacing w:after="40" w:before="40"/>
      </w:pPr>
      <w:r>
        <w:rPr>
          <w:rFonts w:ascii="Arial" w:cs="Arial" w:eastAsia="Arial" w:hAnsi="Arial"/>
          <w:sz w:val="22"/>
          <w:szCs w:val="22"/>
        </w:rPr>
        <w:t xml:space="preserve">Target audio (stile Orchidea): un file audio esterno viene proiettato nel piano UMAP; le sue coordinate sostituiscono il centroide della Dynamic Form.</w:t>
      </w:r>
    </w:p>
    <w:p>
      <w:pPr>
        <w:pStyle w:val="Heading2"/>
        <w:spacing w:after="120" w:before="320"/>
      </w:pPr>
      <w:r>
        <w:rPr>
          <w:rFonts w:ascii="Arial" w:cs="Arial" w:eastAsia="Arial" w:hAnsi="Arial"/>
          <w:b/>
          <w:bCs/>
          <w:color w:val="595959"/>
          <w:sz w:val="26"/>
          <w:szCs w:val="26"/>
        </w:rPr>
        <w:t xml:space="preserve">2.3  Profilo di tensione per passo</w:t>
      </w:r>
    </w:p>
    <w:p>
      <w:pPr>
        <w:spacing w:after="160" w:before="0"/>
      </w:pPr>
      <w:r>
        <w:rPr>
          <w:rFonts w:ascii="Arial" w:cs="Arial" w:eastAsia="Arial" w:hAnsi="Arial"/>
          <w:color w:val="000000"/>
          <w:sz w:val="22"/>
          <w:szCs w:val="22"/>
        </w:rPr>
        <w:t xml:space="preserve">Ad ogni passo del percorso è associato un valore scalare di tensione calcolato dalla funzione compute_tension_profile, che dipende dalla Dynamic Form assegnata al campo: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Direzione</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Formula tensione</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Profilo</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Forward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 + 0.8·t_rel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Crescente da pp a ff</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1.0 − 0.8·t_rel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Decrescente da ff a pp</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Presence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0.15 + 0.10·sin(π·t_rel)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Stabile, lieve arco</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dist / (xrange·0.3)</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Dalla distanza browniana</w:t>
            </w:r>
          </w:p>
        </w:tc>
      </w:tr>
    </w:tbl>
    <w:p>
      <w:pPr>
        <w:spacing w:after="0" w:before="80"/>
      </w:pPr>
    </w:p>
    <w:p>
      <w:pPr>
        <w:spacing w:after="160" w:before="0"/>
      </w:pPr>
      <w:r>
        <w:rPr>
          <w:rFonts w:ascii="Arial" w:cs="Arial" w:eastAsia="Arial" w:hAnsi="Arial"/>
          <w:color w:val="000000"/>
          <w:sz w:val="22"/>
          <w:szCs w:val="22"/>
        </w:rPr>
        <w:t xml:space="preserve">Questo profilo scalare viene utilizzato come parametro di controllo per la pipeline di elaborazione SC, come peso di suddivisione ritmica nel livello 3 dell’RTM, e come sorgente della dinamica nella partitura grafica.</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3. Dynamic Form (Thoresen)</w:t>
      </w:r>
    </w:p>
    <w:p>
      <w:pPr>
        <w:spacing w:after="160" w:before="0"/>
      </w:pPr>
      <w:r>
        <w:rPr>
          <w:rFonts w:ascii="Arial" w:cs="Arial" w:eastAsia="Arial" w:hAnsi="Arial"/>
          <w:color w:val="000000"/>
          <w:sz w:val="22"/>
          <w:szCs w:val="22"/>
        </w:rPr>
        <w:t xml:space="preserve">Le Dynamic Forms di Thoresen (Aural Sonology, cap. 8) descrivono le modalità fondamentali di tensione-rilascio nel suono musicale come direzioni temporali intrinseche: Forward (proiezione in avanti, accumulo), Backward (raccoglimento, decelerazione), Presence (presenza stabile, circolarità), Neutral (indifferenziato).</w:t>
      </w:r>
    </w:p>
    <w:p>
      <w:pPr>
        <w:spacing w:after="160" w:before="0"/>
      </w:pPr>
      <w:r>
        <w:rPr>
          <w:rFonts w:ascii="Arial" w:cs="Arial" w:eastAsia="Arial" w:hAnsi="Arial"/>
          <w:color w:val="000000"/>
          <w:sz w:val="22"/>
          <w:szCs w:val="22"/>
        </w:rPr>
        <w:t xml:space="preserve">In Remnant ciascuna direzione determina: (a) l’attrattore del percorso browniano nello spazio UMAP; (b) il profilo di tensione per passo; (c) la categoria Lachenmann predominante in funzione del livello di tensione raggiunto: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Direzione</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Attrattore UMAP</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Bassa tensione (&lt;0.7)</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Alta tensione (≥0.7)</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Forward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Centroide Kadenz/Textur</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Textur</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Kadenz</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Centroide Farbklang/Geräusch</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Farbklang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Geräusch</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Presence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Centroide Klang/Stille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Stille</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Volatilità browniana</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Textur</w:t>
            </w:r>
          </w:p>
        </w:tc>
      </w:tr>
    </w:tbl>
    <w:p>
      <w:pPr>
        <w:spacing w:after="0" w:before="80"/>
      </w:pPr>
    </w:p>
    <w:p>
      <w:pPr>
        <w:spacing w:after="160" w:before="0"/>
      </w:pPr>
      <w:r>
        <w:rPr>
          <w:rFonts w:ascii="Arial" w:cs="Arial" w:eastAsia="Arial" w:hAnsi="Arial"/>
          <w:color w:val="000000"/>
          <w:sz w:val="22"/>
          <w:szCs w:val="22"/>
        </w:rPr>
        <w:t xml:space="preserve">La corrispondenza tra Dynamic Form e categorie Lachenmann non è arbitraria: Forward tende verso Kadenz (movimento direzionato, gesto cadenzale) ad alta tensione, mentre Backward tende verso Geräusch (rumore, dissoluzione della forma). Presence a bassa tensione corrisponde a Klang (suono stabile, timbro puro).</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4. Griglia Pulsativa e Notazione RTM</w:t>
      </w:r>
    </w:p>
    <w:p>
      <w:pPr>
        <w:pStyle w:val="Heading2"/>
        <w:spacing w:after="120" w:before="320"/>
      </w:pPr>
      <w:r>
        <w:rPr>
          <w:rFonts w:ascii="Arial" w:cs="Arial" w:eastAsia="Arial" w:hAnsi="Arial"/>
          <w:b/>
          <w:bCs/>
          <w:color w:val="595959"/>
          <w:sz w:val="26"/>
          <w:szCs w:val="26"/>
        </w:rPr>
        <w:t xml:space="preserve">4.1  Griglia nella partitura grafica</w:t>
      </w:r>
    </w:p>
    <w:p>
      <w:pPr>
        <w:spacing w:after="160" w:before="0"/>
      </w:pPr>
      <w:r>
        <w:rPr>
          <w:rFonts w:ascii="Arial" w:cs="Arial" w:eastAsia="Arial" w:hAnsi="Arial"/>
          <w:color w:val="000000"/>
          <w:sz w:val="22"/>
          <w:szCs w:val="22"/>
        </w:rPr>
        <w:t xml:space="preserve">La griglia pulsativa nella partitura codifica le distanze euclidee browniane inter-passo come frazioni razionali binarie (denominatore ≤8). Ogni cella porta il proprio BPM locale derivato dal valore di tensione per-passo secondo la formula: BPM = 40 + tensione × 80, agganciato alla griglia discreta [40, 48, 60, 72, 80, 96, 120].</w:t>
      </w:r>
    </w:p>
    <w:p>
      <w:pPr>
        <w:spacing w:after="160" w:before="0"/>
      </w:pPr>
      <w:r>
        <w:rPr>
          <w:rFonts w:ascii="Arial" w:cs="Arial" w:eastAsia="Arial" w:hAnsi="Arial"/>
          <w:color w:val="000000"/>
          <w:sz w:val="22"/>
          <w:szCs w:val="22"/>
        </w:rPr>
        <w:t xml:space="preserve">Il principio fondamentale è l’invarianza delle durate assolute in secondi: il BPM locale è un’indicazione gestuale e interpretativa, non un vincolo metrico. La notazione proporzionale è ispirata al sistema Ferneyhough, dove le proporzioni ritmiche emergono da una logica strutturale interna piuttosto che da una griglia metrica imposta.</w:t>
      </w:r>
    </w:p>
    <w:p>
      <w:pPr>
        <w:pStyle w:val="Heading2"/>
        <w:spacing w:after="120" w:before="320"/>
      </w:pPr>
      <w:r>
        <w:rPr>
          <w:rFonts w:ascii="Arial" w:cs="Arial" w:eastAsia="Arial" w:hAnsi="Arial"/>
          <w:b/>
          <w:bCs/>
          <w:color w:val="595959"/>
          <w:sz w:val="26"/>
          <w:szCs w:val="26"/>
        </w:rPr>
        <w:t xml:space="preserve">4.2  Esportazione RTM per OpenMusic</w:t>
      </w:r>
    </w:p>
    <w:p>
      <w:pPr>
        <w:spacing w:after="160" w:before="0"/>
      </w:pPr>
      <w:r>
        <w:rPr>
          <w:rFonts w:ascii="Arial" w:cs="Arial" w:eastAsia="Arial" w:hAnsi="Arial"/>
          <w:color w:val="000000"/>
          <w:sz w:val="22"/>
          <w:szCs w:val="22"/>
        </w:rPr>
        <w:t xml:space="preserve">Il bottone Export RTM for OpenMusic genera il file scores/rtm_ferneyhough.lisp contenente un albero ritmico gerarchico a tre livelli per ogni campo. L’albero segue il formato nativo della classe voice di OpenMusic 8 e implementa il principio Ferneyhough di durata assoluta invariante tramite firme temporali irregolari con BPM locali.</w:t>
      </w:r>
    </w:p>
    <w:p>
      <w:pPr>
        <w:spacing w:after="80" w:before="240"/>
      </w:pPr>
      <w:r>
        <w:rPr>
          <w:rFonts w:ascii="Arial" w:cs="Arial" w:eastAsia="Arial" w:hAnsi="Arial"/>
          <w:b/>
          <w:bCs/>
          <w:sz w:val="22"/>
          <w:szCs w:val="22"/>
        </w:rPr>
        <w:t xml:space="preserve">Livello 1 — Firma di misura</w:t>
      </w:r>
    </w:p>
    <w:p>
      <w:pPr>
        <w:spacing w:after="160" w:before="0"/>
      </w:pPr>
      <w:r>
        <w:rPr>
          <w:rFonts w:ascii="Arial" w:cs="Arial" w:eastAsia="Arial" w:hAnsi="Arial"/>
          <w:color w:val="000000"/>
          <w:sz w:val="22"/>
          <w:szCs w:val="22"/>
        </w:rPr>
        <w:t xml:space="preserve">Ogni cella browniana diventa una misura con firma (n d), con d ∈ {2, 4, 8, 16} e n ∈ [1, 16]. La firma è scelta minimizzando la distanza dal BPM globale del gesto secondo il criterio:</w:t>
      </w:r>
    </w:p>
    <w:p>
      <w:pPr>
        <w:spacing w:after="60" w:before="60"/>
        <w:ind w:left="720"/>
      </w:pPr>
      <w:r>
        <w:rPr>
          <w:rFonts w:ascii="Courier New" w:cs="Courier New" w:eastAsia="Courier New" w:hAnsi="Courier New"/>
          <w:color w:val="1F4E79"/>
          <w:sz w:val="20"/>
          <w:szCs w:val="20"/>
        </w:rPr>
        <w:t xml:space="preserve">bpm_locale = 240 × n / (dur_cella_sec × d)</w:t>
      </w:r>
    </w:p>
    <w:p>
      <w:pPr>
        <w:spacing w:after="160" w:before="0"/>
      </w:pPr>
      <w:r>
        <w:rPr>
          <w:rFonts w:ascii="Arial" w:cs="Arial" w:eastAsia="Arial" w:hAnsi="Arial"/>
          <w:color w:val="000000"/>
          <w:sz w:val="22"/>
          <w:szCs w:val="22"/>
        </w:rPr>
        <w:t xml:space="preserve">La durata assoluta di ogni cella è determinata dalla sua distanza euclidea cumulativa rispetto alla distanza totale del gesto: dur_cella = (dist_cella / dist_totale) × g_dur. La partizione usa una soglia cumulativa: ogni passo browniano è assegnato alla cella in cui cade il suo punto medio (midpoint rule). Celle senza passi diventano pause (-1).</w:t>
      </w:r>
    </w:p>
    <w:p>
      <w:pPr>
        <w:spacing w:after="80" w:before="240"/>
      </w:pPr>
      <w:r>
        <w:rPr>
          <w:rFonts w:ascii="Arial" w:cs="Arial" w:eastAsia="Arial" w:hAnsi="Arial"/>
          <w:b/>
          <w:bCs/>
          <w:sz w:val="22"/>
          <w:szCs w:val="22"/>
        </w:rPr>
        <w:t xml:space="preserve">Livello 2 — Suddivisione della misura</w:t>
      </w:r>
    </w:p>
    <w:p>
      <w:pPr>
        <w:spacing w:after="160" w:before="0"/>
      </w:pPr>
      <w:r>
        <w:rPr>
          <w:rFonts w:ascii="Arial" w:cs="Arial" w:eastAsia="Arial" w:hAnsi="Arial"/>
          <w:color w:val="000000"/>
          <w:sz w:val="22"/>
          <w:szCs w:val="22"/>
        </w:rPr>
        <w:t xml:space="preserve">I passi browniani nella cella sono ponderati proporzionalmente alle loro distanze euclidee e quantizzati con denominatore ≤8. La somma dei pesi è esatta tramite distribuzione dell’errore di arrotondamento (algoritmo ispirato a Stern-Brocot).</w:t>
      </w:r>
    </w:p>
    <w:p>
      <w:pPr>
        <w:spacing w:after="80" w:before="240"/>
      </w:pPr>
      <w:r>
        <w:rPr>
          <w:rFonts w:ascii="Arial" w:cs="Arial" w:eastAsia="Arial" w:hAnsi="Arial"/>
          <w:b/>
          <w:bCs/>
          <w:sz w:val="22"/>
          <w:szCs w:val="22"/>
        </w:rPr>
        <w:t xml:space="preserve">Livello 3 — Sotto-suddivisione dalla tensione</w:t>
      </w:r>
    </w:p>
    <w:p>
      <w:pPr>
        <w:spacing w:after="160" w:before="0"/>
      </w:pPr>
      <w:r>
        <w:rPr>
          <w:rFonts w:ascii="Arial" w:cs="Arial" w:eastAsia="Arial" w:hAnsi="Arial"/>
          <w:color w:val="000000"/>
          <w:sz w:val="22"/>
          <w:szCs w:val="22"/>
        </w:rPr>
        <w:t xml:space="preserve">Ogni passo è ulteriormente suddiviso internamente in base al suo valore di tension_profile. L’irregolarità aumenta con la tensione:</w:t>
      </w:r>
    </w:p>
    <w:p>
      <w:pPr>
        <w:pStyle w:val="ListParagraph"/>
        <w:numPr>
          <w:ilvl w:val="0"/>
          <w:numId w:val="2"/>
        </w:numPr>
        <w:spacing w:after="40" w:before="40"/>
      </w:pPr>
      <w:r>
        <w:rPr>
          <w:rFonts w:ascii="Arial" w:cs="Arial" w:eastAsia="Arial" w:hAnsi="Arial"/>
          <w:sz w:val="22"/>
          <w:szCs w:val="22"/>
        </w:rPr>
        <w:t xml:space="preserve">tensione ≤0.25: nota intera, nessuna suddivisione</w:t>
      </w:r>
    </w:p>
    <w:p>
      <w:pPr>
        <w:pStyle w:val="ListParagraph"/>
        <w:numPr>
          <w:ilvl w:val="0"/>
          <w:numId w:val="2"/>
        </w:numPr>
        <w:spacing w:after="40" w:before="40"/>
      </w:pPr>
      <w:r>
        <w:rPr>
          <w:rFonts w:ascii="Arial" w:cs="Arial" w:eastAsia="Arial" w:hAnsi="Arial"/>
          <w:sz w:val="22"/>
          <w:szCs w:val="22"/>
        </w:rPr>
        <w:t xml:space="preserve">tensione 0.25–0.50: 2–5 suddivisioni quasi-uniformi (rumore basso)</w:t>
      </w:r>
    </w:p>
    <w:p>
      <w:pPr>
        <w:pStyle w:val="ListParagraph"/>
        <w:numPr>
          <w:ilvl w:val="0"/>
          <w:numId w:val="2"/>
        </w:numPr>
        <w:spacing w:after="40" w:before="40"/>
      </w:pPr>
      <w:r>
        <w:rPr>
          <w:rFonts w:ascii="Arial" w:cs="Arial" w:eastAsia="Arial" w:hAnsi="Arial"/>
          <w:sz w:val="22"/>
          <w:szCs w:val="22"/>
        </w:rPr>
        <w:t xml:space="preserve">tensione &gt;0.50: 3–8 suddivisioni con distribuzione esponenziale; preferenza per denominatori dispari (3, 5, 7) che producono terzine, quintine, settimine</w:t>
      </w:r>
    </w:p>
    <w:p>
      <w:pPr>
        <w:spacing w:after="0" w:before="80"/>
      </w:pPr>
    </w:p>
    <w:p>
      <w:pPr>
        <w:spacing w:after="160" w:before="0"/>
      </w:pPr>
      <w:r>
        <w:rPr>
          <w:rFonts w:ascii="Arial" w:cs="Arial" w:eastAsia="Arial" w:hAnsi="Arial"/>
          <w:color w:val="000000"/>
          <w:sz w:val="22"/>
          <w:szCs w:val="22"/>
        </w:rPr>
        <w:t xml:space="preserve">Il numero di suddivisioni e i pesi sono generati con seed deterministica per gesto (gidx × 1000 + 7), garantendo la riproducibilità a parità di score. Il file generato è un oggetto voice nativo di OM 8:</w:t>
      </w:r>
    </w:p>
    <w:p>
      <w:pPr>
        <w:spacing w:after="60" w:before="60"/>
        <w:ind w:left="720"/>
      </w:pPr>
      <w:r>
        <w:rPr>
          <w:rFonts w:ascii="Courier New" w:cs="Courier New" w:eastAsia="Courier New" w:hAnsi="Courier New"/>
          <w:color w:val="1F4E79"/>
          <w:sz w:val="20"/>
          <w:szCs w:val="20"/>
        </w:rPr>
        <w:t xml:space="preserve">(defparameter *rtm-gesto1*</w:t>
      </w:r>
    </w:p>
    <w:p>
      <w:pPr>
        <w:spacing w:after="60" w:before="60"/>
        <w:ind w:left="720"/>
      </w:pPr>
      <w:r>
        <w:rPr>
          <w:rFonts w:ascii="Courier New" w:cs="Courier New" w:eastAsia="Courier New" w:hAnsi="Courier New"/>
          <w:color w:val="1F4E79"/>
          <w:sz w:val="20"/>
          <w:szCs w:val="20"/>
        </w:rPr>
        <w:t xml:space="preserve">  (make-instance 'voice</w:t>
      </w:r>
    </w:p>
    <w:p>
      <w:pPr>
        <w:spacing w:after="60" w:before="60"/>
        <w:ind w:left="720"/>
      </w:pPr>
      <w:r>
        <w:rPr>
          <w:rFonts w:ascii="Courier New" w:cs="Courier New" w:eastAsia="Courier New" w:hAnsi="Courier New"/>
          <w:color w:val="1F4E79"/>
          <w:sz w:val="20"/>
          <w:szCs w:val="20"/>
        </w:rPr>
        <w:t xml:space="preserve">    :tree '(? (((7 8) (1 (1 2))) ((9 8) ((1 (3 1)) ...)) ...))</w:t>
      </w:r>
    </w:p>
    <w:p>
      <w:pPr>
        <w:spacing w:after="60" w:before="60"/>
        <w:ind w:left="720"/>
      </w:pPr>
      <w:r>
        <w:rPr>
          <w:rFonts w:ascii="Courier New" w:cs="Courier New" w:eastAsia="Courier New" w:hAnsi="Courier New"/>
          <w:color w:val="1F4E79"/>
          <w:sz w:val="20"/>
          <w:szCs w:val="20"/>
        </w:rPr>
        <w:t xml:space="preserve">    :tempo (list '(1/4 58.8) (list '((1 0) (1/4 58.8 nil)) ...))))</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5. Presente Vivente (Husserl)</w:t>
      </w:r>
    </w:p>
    <w:p>
      <w:pPr>
        <w:pStyle w:val="Heading2"/>
        <w:spacing w:after="120" w:before="320"/>
      </w:pPr>
      <w:r>
        <w:rPr>
          <w:rFonts w:ascii="Arial" w:cs="Arial" w:eastAsia="Arial" w:hAnsi="Arial"/>
          <w:b/>
          <w:bCs/>
          <w:color w:val="595959"/>
          <w:sz w:val="26"/>
          <w:szCs w:val="26"/>
        </w:rPr>
        <w:t xml:space="preserve">5.1  Struttura della coscienza temporale</w:t>
      </w:r>
    </w:p>
    <w:p>
      <w:pPr>
        <w:spacing w:after="160" w:before="0"/>
      </w:pPr>
      <w:r>
        <w:rPr>
          <w:rFonts w:ascii="Arial" w:cs="Arial" w:eastAsia="Arial" w:hAnsi="Arial"/>
          <w:color w:val="000000"/>
          <w:sz w:val="22"/>
          <w:szCs w:val="22"/>
        </w:rPr>
        <w:t xml:space="preserve">L’architettura della tensione in SuperCollider implementa la struttura husserliana del Lebendige Gegenwart — il presente vivente come spessore temporale che comprende tre momenti inscindibili: ritenzione (il passato immediato ancora risonante), impressione primale (il presente istantaneo), protenzione (il futuro imminente anticipato). In Husserl questi tre momenti non sono separati ma formano un continuum intenzionale.</w:t>
      </w:r>
    </w:p>
    <w:p>
      <w:pPr>
        <w:spacing w:after="160" w:before="0"/>
      </w:pPr>
      <w:r>
        <w:rPr>
          <w:rFonts w:ascii="Arial" w:cs="Arial" w:eastAsia="Arial" w:hAnsi="Arial"/>
          <w:color w:val="000000"/>
          <w:sz w:val="22"/>
          <w:szCs w:val="22"/>
        </w:rPr>
        <w:t xml:space="preserve">La scelta di questa struttura come modello computazionale per la tensione timbrica risponde a una domanda compositiva precisa: come fare in modo che le transizioni tra categorie timbriche portino memoria del passato e anticipazione del futuro, invece di essere semplici cambi di stato?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Momento husserliano</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Implementazione SC</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Peso</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Ritenzione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 esponenziale ultimi 8 valori di tensione (~r_retentionValue)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Impressione primale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Tensione composita corrente: score_tension × 0.6 + FluCoMa × 0.4</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0.60</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Protenzione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Routine AppClock che legge brownian_score.json 2 secondi in anticipo</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r>
    </w:tbl>
    <w:p>
      <w:pPr>
        <w:spacing w:after="0" w:before="80"/>
      </w:pPr>
    </w:p>
    <w:p>
      <w:pPr>
        <w:spacing w:after="60" w:before="60"/>
        <w:ind w:left="720"/>
      </w:pPr>
      <w:r>
        <w:rPr>
          <w:rFonts w:ascii="Courier New" w:cs="Courier New" w:eastAsia="Courier New" w:hAnsi="Courier New"/>
          <w:color w:val="1F4E79"/>
          <w:sz w:val="20"/>
          <w:szCs w:val="20"/>
        </w:rPr>
        <w:t xml:space="preserve">living_present = impression × 0.60 + retention × 0.25 + protention × 0.15</w:t>
      </w:r>
    </w:p>
    <w:p>
      <w:pPr>
        <w:spacing w:after="160" w:before="0"/>
      </w:pPr>
      <w:r>
        <w:rPr>
          <w:rFonts w:ascii="Arial" w:cs="Arial" w:eastAsia="Arial" w:hAnsi="Arial"/>
          <w:color w:val="000000"/>
          <w:sz w:val="22"/>
          <w:szCs w:val="22"/>
        </w:rPr>
        <w:t xml:space="preserve">La ritenzione usa una media esponenziale con peso decrescente: i valori più recenti pesano di più. La protenzione anticipa la tensione del prossimo evento della partitura leggendola dal JSON 2 secondi prima che l’evento si verifichi. Le transizioni di categoria non sono mai abrupte: il sistema è già in movimento verso la categoria successiva mentre è ancora nella precedente.</w:t>
      </w:r>
    </w:p>
    <w:p>
      <w:pPr>
        <w:pStyle w:val="Heading2"/>
        <w:spacing w:after="120" w:before="320"/>
      </w:pPr>
      <w:r>
        <w:rPr>
          <w:rFonts w:ascii="Arial" w:cs="Arial" w:eastAsia="Arial" w:hAnsi="Arial"/>
          <w:b/>
          <w:bCs/>
          <w:color w:val="595959"/>
          <w:sz w:val="26"/>
          <w:szCs w:val="26"/>
        </w:rPr>
        <w:t xml:space="preserve">5.2  Analisi FluCoMa in tempo reale</w:t>
      </w:r>
    </w:p>
    <w:p>
      <w:pPr>
        <w:spacing w:after="160" w:before="0"/>
      </w:pPr>
      <w:r>
        <w:rPr>
          <w:rFonts w:ascii="Arial" w:cs="Arial" w:eastAsia="Arial" w:hAnsi="Arial"/>
          <w:color w:val="000000"/>
          <w:sz w:val="22"/>
          <w:szCs w:val="22"/>
        </w:rPr>
        <w:t xml:space="preserve">Il modulo remnant_flucos.scd utilizza FluidLoudness e FluidSpectralShape per estrarre loudness RMS e centroide spettrale dal segnale orchestrale in ingresso. Questi valori contribuiscono al 40% della tensione composita (impressione primale), rendendo la tensione sensibile all’effettivo stato timbrico dell’orchestra in quel momento, indipendentemente dalla partitura:</w:t>
      </w:r>
    </w:p>
    <w:p>
      <w:pPr>
        <w:spacing w:after="60" w:before="60"/>
        <w:ind w:left="720"/>
      </w:pPr>
      <w:r>
        <w:rPr>
          <w:rFonts w:ascii="Courier New" w:cs="Courier New" w:eastAsia="Courier New" w:hAnsi="Courier New"/>
          <w:color w:val="1F4E79"/>
          <w:sz w:val="20"/>
          <w:szCs w:val="20"/>
        </w:rPr>
        <w:t xml:space="preserve">flucos_tension = 0.5 × norm(loudness) + 0.5 × norm(centroid)</w:t>
      </w:r>
    </w:p>
    <w:p>
      <w:pPr>
        <w:spacing w:after="60" w:before="60"/>
        <w:ind w:left="720"/>
      </w:pPr>
      <w:r>
        <w:rPr>
          <w:rFonts w:ascii="Courier New" w:cs="Courier New" w:eastAsia="Courier New" w:hAnsi="Courier New"/>
          <w:color w:val="1F4E79"/>
          <w:sz w:val="20"/>
          <w:szCs w:val="20"/>
        </w:rPr>
        <w:t xml:space="preserve">composite = score_tension × 0.6 + flucos_tension × 0.4</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6. Catena del Segnale</w:t>
      </w:r>
    </w:p>
    <w:p>
      <w:pPr>
        <w:pStyle w:val="Heading2"/>
        <w:spacing w:after="120" w:before="320"/>
      </w:pPr>
      <w:r>
        <w:rPr>
          <w:rFonts w:ascii="Arial" w:cs="Arial" w:eastAsia="Arial" w:hAnsi="Arial"/>
          <w:b/>
          <w:bCs/>
          <w:color w:val="595959"/>
          <w:sz w:val="26"/>
          <w:szCs w:val="26"/>
        </w:rPr>
        <w:t xml:space="preserve">6.1  Pipeline di mascheramento (Lerdahl)</w:t>
      </w:r>
    </w:p>
    <w:p>
      <w:pPr>
        <w:spacing w:after="160" w:before="0"/>
      </w:pPr>
      <w:r>
        <w:rPr>
          <w:rFonts w:ascii="Arial" w:cs="Arial" w:eastAsia="Arial" w:hAnsi="Arial"/>
          <w:color w:val="000000"/>
          <w:sz w:val="22"/>
          <w:szCs w:val="22"/>
        </w:rPr>
        <w:t xml:space="preserve">Il motore di convoluzione implementa il mascheramento progressivo della sorgente orchestrale secondo la gerarchia timbrica di Lerdahl. La pipeline opera in serie su ogni campo: PitchShift → Convolution2 → FreqShift → BPF.</w:t>
      </w:r>
    </w:p>
    <w:p>
      <w:pPr>
        <w:pStyle w:val="ListParagraph"/>
        <w:numPr>
          <w:ilvl w:val="0"/>
          <w:numId w:val="2"/>
        </w:numPr>
        <w:spacing w:after="40" w:before="40"/>
      </w:pPr>
      <w:r>
        <w:rPr>
          <w:rFonts w:ascii="Arial" w:cs="Arial" w:eastAsia="Arial" w:hAnsi="Arial"/>
          <w:sz w:val="22"/>
          <w:szCs w:val="22"/>
        </w:rPr>
        <w:t xml:space="preserve">PitchShift: scrambling melodico e timbrico; pitchRatio, pitchDispersion e timeDispersion scalano con la tensione e variano per categoria Lachenmann</w:t>
      </w:r>
    </w:p>
    <w:p>
      <w:pPr>
        <w:pStyle w:val="ListParagraph"/>
        <w:numPr>
          <w:ilvl w:val="0"/>
          <w:numId w:val="2"/>
        </w:numPr>
        <w:spacing w:after="40" w:before="40"/>
      </w:pPr>
      <w:r>
        <w:rPr>
          <w:rFonts w:ascii="Arial" w:cs="Arial" w:eastAsia="Arial" w:hAnsi="Arial"/>
          <w:sz w:val="22"/>
          <w:szCs w:val="22"/>
        </w:rPr>
        <w:t xml:space="preserve">Convolution2: IR procedurale specifico per categoria, generato algoritmicamente in SC</w:t>
      </w:r>
    </w:p>
    <w:p>
      <w:pPr>
        <w:pStyle w:val="ListParagraph"/>
        <w:numPr>
          <w:ilvl w:val="0"/>
          <w:numId w:val="2"/>
        </w:numPr>
        <w:spacing w:after="40" w:before="40"/>
      </w:pPr>
      <w:r>
        <w:rPr>
          <w:rFonts w:ascii="Arial" w:cs="Arial" w:eastAsia="Arial" w:hAnsi="Arial"/>
          <w:sz w:val="22"/>
          <w:szCs w:val="22"/>
        </w:rPr>
        <w:t xml:space="preserve">FreqShift: rotazione spettrale fino a centinaia di Hz; rompe le relazioni armoniche residue</w:t>
      </w:r>
    </w:p>
    <w:p>
      <w:pPr>
        <w:pStyle w:val="ListParagraph"/>
        <w:numPr>
          <w:ilvl w:val="0"/>
          <w:numId w:val="2"/>
        </w:numPr>
        <w:spacing w:after="40" w:before="40"/>
      </w:pPr>
      <w:r>
        <w:rPr>
          <w:rFonts w:ascii="Arial" w:cs="Arial" w:eastAsia="Arial" w:hAnsi="Arial"/>
          <w:sz w:val="22"/>
          <w:szCs w:val="22"/>
        </w:rPr>
        <w:t xml:space="preserve">BPF: finestra spettrale mobile verso le frequenze inarmoniche al crescere della tensione</w:t>
      </w:r>
    </w:p>
    <w:p>
      <w:pPr>
        <w:spacing w:after="0" w:before="80"/>
      </w:pPr>
    </w:p>
    <w:p>
      <w:pPr>
        <w:spacing w:after="160" w:before="0"/>
      </w:pPr>
      <w:r>
        <w:rPr>
          <w:rFonts w:ascii="Arial" w:cs="Arial" w:eastAsia="Arial" w:hAnsi="Arial"/>
          <w:color w:val="000000"/>
          <w:sz w:val="22"/>
          <w:szCs w:val="22"/>
        </w:rPr>
        <w:t xml:space="preserve">La sorgente secca è moltiplicata per (1 − tensione)^1.5 — non mixata con il segnale elaborato. A tensione 1.0 la sorgente è zero: sostituzione completa, non mixing.</w:t>
      </w:r>
    </w:p>
    <w:p>
      <w:pPr>
        <w:pStyle w:val="Heading2"/>
        <w:spacing w:after="120" w:before="320"/>
      </w:pPr>
      <w:r>
        <w:rPr>
          <w:rFonts w:ascii="Arial" w:cs="Arial" w:eastAsia="Arial" w:hAnsi="Arial"/>
          <w:b/>
          <w:bCs/>
          <w:color w:val="595959"/>
          <w:sz w:val="26"/>
          <w:szCs w:val="26"/>
        </w:rPr>
        <w:t xml:space="preserve">6.2  Categorie IR (Lachenmann)</w:t>
      </w:r>
    </w:p>
    <w:p>
      <w:pPr>
        <w:spacing w:after="160" w:before="0"/>
      </w:pPr>
      <w:r>
        <w:rPr>
          <w:rFonts w:ascii="Arial" w:cs="Arial" w:eastAsia="Arial" w:hAnsi="Arial"/>
          <w:color w:val="000000"/>
          <w:sz w:val="22"/>
          <w:szCs w:val="22"/>
        </w:rPr>
        <w:t xml:space="preserve">Le sette categorie di Lachenmann (Klang, Farbklang, Geräusch, Kadenz, Textur, Stille, Neutro) determinano il carattere dell’IR procedurale applicato a ogni campo. Tutti i campi condividono lo stesso IR e lo stesso valore di tensione (l’orchestra come corpo unico):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Categoria</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Carattere IR</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Max freq shift</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BPF Q</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Parziali armonici puri, decay lungo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Farbklang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Rapporti inarmonici (φ, √2, √3…)</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60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Geräusch</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Rumore broadband + fasce filtrate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180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Kadenz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Treno di impulsi periodici</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Textur</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Modulazione FM lenta</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Stille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Quasi-impulso, massima trasparenza</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Risonanza neutra + rumore lieve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r>
    </w:tbl>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7. Spazio e Diffusione Ottofonica</w:t>
      </w:r>
    </w:p>
    <w:p>
      <w:pPr>
        <w:spacing w:after="160" w:before="0"/>
      </w:pPr>
      <w:r>
        <w:rPr>
          <w:rFonts w:ascii="Arial" w:cs="Arial" w:eastAsia="Arial" w:hAnsi="Arial"/>
          <w:color w:val="000000"/>
          <w:sz w:val="22"/>
          <w:szCs w:val="22"/>
        </w:rPr>
        <w:t xml:space="preserve">Ogni evento del percorso browniano ha un angolo azimutale (0–360°) calcolato dalla coordinata Y nello spazio UMAP: azimuth = (Y − Y_min) / (Y_max − Y_min) × 360°. Il panning ottofonia è implementato tramite VBAP a 8 canali secondo lo standard ITU-R BS.775.</w:t>
      </w:r>
    </w:p>
    <w:p>
      <w:pPr>
        <w:spacing w:after="160" w:before="0"/>
      </w:pPr>
      <w:r>
        <w:rPr>
          <w:rFonts w:ascii="Arial" w:cs="Arial" w:eastAsia="Arial" w:hAnsi="Arial"/>
          <w:color w:val="000000"/>
          <w:sz w:val="22"/>
          <w:szCs w:val="22"/>
        </w:rPr>
        <w:t xml:space="preserve">Il principio compositivo è che la collocazione spaziale di un suono emerge direttamente dalla sua posizione nello spazio timbrico: suoni timbricamente vicini tendono a occupare posizioni azimutali simili. Lo spazio fisico della diffusione è una proiezione dello spazio timbrico.</w:t>
      </w:r>
    </w:p>
    <w:p>
      <w:pPr>
        <w:spacing w:after="160" w:before="0"/>
      </w:pPr>
      <w:r>
        <w:rPr>
          <w:rFonts w:ascii="Arial" w:cs="Arial" w:eastAsia="Arial" w:hAnsi="Arial"/>
          <w:color w:val="000000"/>
          <w:sz w:val="22"/>
          <w:szCs w:val="22"/>
        </w:rPr>
        <w:t xml:space="preserve">In sviluppo: ePlayer → BlackHole CH 0–3 → SC legge SoundIn(0–3). In concerto: microfoni live → SC direttamente. Un convolution processor per campo, stesso IR, stesso stato timbrico.</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8. Partitura Grafica</w:t>
      </w:r>
    </w:p>
    <w:p>
      <w:pPr>
        <w:spacing w:after="160" w:before="0"/>
      </w:pPr>
      <w:r>
        <w:rPr>
          <w:rFonts w:ascii="Arial" w:cs="Arial" w:eastAsia="Arial" w:hAnsi="Arial"/>
          <w:color w:val="000000"/>
          <w:sz w:val="22"/>
          <w:szCs w:val="22"/>
        </w:rPr>
        <w:t xml:space="preserve">La partitura è generata in Plotly/Dash. Ogni campo è rappresentato su un asse azimutale (0–360°). La notazione è ispirata alla partitura proporzionale di Feldman e alla notazione morfologica di Lachenmann:</w:t>
      </w:r>
    </w:p>
    <w:p>
      <w:pPr>
        <w:pStyle w:val="ListParagraph"/>
        <w:numPr>
          <w:ilvl w:val="0"/>
          <w:numId w:val="2"/>
        </w:numPr>
        <w:spacing w:after="40" w:before="40"/>
      </w:pPr>
      <w:r>
        <w:rPr>
          <w:rFonts w:ascii="Arial" w:cs="Arial" w:eastAsia="Arial" w:hAnsi="Arial"/>
          <w:sz w:val="22"/>
          <w:szCs w:val="22"/>
        </w:rPr>
        <w:t xml:space="preserve">Rigo a 5 linee centrato sull’azimuth di ogni evento</w:t>
      </w:r>
    </w:p>
    <w:p>
      <w:pPr>
        <w:pStyle w:val="ListParagraph"/>
        <w:numPr>
          <w:ilvl w:val="0"/>
          <w:numId w:val="2"/>
        </w:numPr>
        <w:spacing w:after="40" w:before="40"/>
      </w:pPr>
      <w:r>
        <w:rPr>
          <w:rFonts w:ascii="Arial" w:cs="Arial" w:eastAsia="Arial" w:hAnsi="Arial"/>
          <w:sz w:val="22"/>
          <w:szCs w:val="22"/>
        </w:rPr>
        <w:t xml:space="preserve">Testa di nota (simbolo per categoria Lachenmann: ● per Klang, ○ per Farbklang, ■ per Geräusch, ◆ per Kadenz, + per Textur) sull’onset</w:t>
      </w:r>
    </w:p>
    <w:p>
      <w:pPr>
        <w:pStyle w:val="ListParagraph"/>
        <w:numPr>
          <w:ilvl w:val="0"/>
          <w:numId w:val="2"/>
        </w:numPr>
        <w:spacing w:after="40" w:before="40"/>
      </w:pPr>
      <w:r>
        <w:rPr>
          <w:rFonts w:ascii="Arial" w:cs="Arial" w:eastAsia="Arial" w:hAnsi="Arial"/>
          <w:sz w:val="22"/>
          <w:szCs w:val="22"/>
        </w:rPr>
        <w:t xml:space="preserve">Linea di durata con terminatore verticale</w:t>
      </w:r>
    </w:p>
    <w:p>
      <w:pPr>
        <w:pStyle w:val="ListParagraph"/>
        <w:numPr>
          <w:ilvl w:val="0"/>
          <w:numId w:val="2"/>
        </w:numPr>
        <w:spacing w:after="40" w:before="40"/>
      </w:pPr>
      <w:r>
        <w:rPr>
          <w:rFonts w:ascii="Arial" w:cs="Arial" w:eastAsia="Arial" w:hAnsi="Arial"/>
          <w:sz w:val="22"/>
          <w:szCs w:val="22"/>
        </w:rPr>
        <w:t xml:space="preserve">Dinamica in corsivo derivata dal tension_profile (ppp…fff)</w:t>
      </w:r>
    </w:p>
    <w:p>
      <w:pPr>
        <w:pStyle w:val="ListParagraph"/>
        <w:numPr>
          <w:ilvl w:val="0"/>
          <w:numId w:val="2"/>
        </w:numPr>
        <w:spacing w:after="40" w:before="40"/>
      </w:pPr>
      <w:r>
        <w:rPr>
          <w:rFonts w:ascii="Arial" w:cs="Arial" w:eastAsia="Arial" w:hAnsi="Arial"/>
          <w:sz w:val="22"/>
          <w:szCs w:val="22"/>
        </w:rPr>
        <w:t xml:space="preserve">Stagger alternato ±14° per eventi con azimuth coincidente</w:t>
      </w:r>
    </w:p>
    <w:p>
      <w:pPr>
        <w:pStyle w:val="ListParagraph"/>
        <w:numPr>
          <w:ilvl w:val="0"/>
          <w:numId w:val="2"/>
        </w:numPr>
        <w:spacing w:after="40" w:before="40"/>
      </w:pPr>
      <w:r>
        <w:rPr>
          <w:rFonts w:ascii="Arial" w:cs="Arial" w:eastAsia="Arial" w:hAnsi="Arial"/>
          <w:sz w:val="22"/>
          <w:szCs w:val="22"/>
        </w:rPr>
        <w:t xml:space="preserve">Watermark F.N semitrasparente (numero campo)</w:t>
      </w:r>
    </w:p>
    <w:p>
      <w:pPr>
        <w:pStyle w:val="ListParagraph"/>
        <w:numPr>
          <w:ilvl w:val="0"/>
          <w:numId w:val="2"/>
        </w:numPr>
        <w:spacing w:after="40" w:before="40"/>
      </w:pPr>
      <w:r>
        <w:rPr>
          <w:rFonts w:ascii="Arial" w:cs="Arial" w:eastAsia="Arial" w:hAnsi="Arial"/>
          <w:sz w:val="22"/>
          <w:szCs w:val="22"/>
        </w:rPr>
        <w:t xml:space="preserve">Link ConTimbre: click su evento apre la pagina HTML dello strumento con notazione ed esempi audio</w:t>
      </w:r>
    </w:p>
    <w:p>
      <w:pPr>
        <w:pStyle w:val="ListParagraph"/>
        <w:numPr>
          <w:ilvl w:val="0"/>
          <w:numId w:val="2"/>
        </w:numPr>
        <w:spacing w:after="40" w:before="40"/>
      </w:pPr>
      <w:r>
        <w:rPr>
          <w:rFonts w:ascii="Arial" w:cs="Arial" w:eastAsia="Arial" w:hAnsi="Arial"/>
          <w:sz w:val="22"/>
          <w:szCs w:val="22"/>
        </w:rPr>
        <w:t xml:space="preserve">Export SVG vettoriale editabile (Illustrator/Inkscape)</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9. Riferimenti bibliografici</w:t>
      </w:r>
    </w:p>
    <w:p>
      <w:pPr>
        <w:spacing w:after="100" w:before="60"/>
      </w:pPr>
      <w:r>
        <w:rPr>
          <w:rFonts w:ascii="Arial" w:cs="Arial" w:eastAsia="Arial" w:hAnsi="Arial"/>
          <w:b/>
          <w:bCs/>
          <w:sz w:val="22"/>
          <w:szCs w:val="22"/>
        </w:rPr>
        <w:t xml:space="preserve">Ferneyhough, B.  </w:t>
      </w:r>
      <w:r>
        <w:rPr>
          <w:rFonts w:ascii="Arial" w:cs="Arial" w:eastAsia="Arial" w:hAnsi="Arial"/>
          <w:sz w:val="22"/>
          <w:szCs w:val="22"/>
        </w:rPr>
        <w:t xml:space="preserve">Collected Writings. Ed. J. Boros &amp; R. Toop. Harwood Academic, 1995.</w:t>
      </w:r>
    </w:p>
    <w:p>
      <w:pPr>
        <w:spacing w:after="100" w:before="60"/>
      </w:pPr>
      <w:r>
        <w:rPr>
          <w:rFonts w:ascii="Arial" w:cs="Arial" w:eastAsia="Arial" w:hAnsi="Arial"/>
          <w:b/>
          <w:bCs/>
          <w:sz w:val="22"/>
          <w:szCs w:val="22"/>
        </w:rPr>
        <w:t xml:space="preserve">Grill, T.  </w:t>
      </w:r>
      <w:r>
        <w:rPr>
          <w:rFonts w:ascii="Arial" w:cs="Arial" w:eastAsia="Arial" w:hAnsi="Arial"/>
          <w:sz w:val="22"/>
          <w:szCs w:val="22"/>
        </w:rPr>
        <w:t xml:space="preserve">ConTimbre: A Corpus of Contemporary Orchestral Timbres. 2023. contimbre.com</w:t>
      </w:r>
    </w:p>
    <w:p>
      <w:pPr>
        <w:spacing w:after="100" w:before="60"/>
      </w:pPr>
      <w:r>
        <w:rPr>
          <w:rFonts w:ascii="Arial" w:cs="Arial" w:eastAsia="Arial" w:hAnsi="Arial"/>
          <w:b/>
          <w:bCs/>
          <w:sz w:val="22"/>
          <w:szCs w:val="22"/>
        </w:rPr>
        <w:t xml:space="preserve">Husserl, E.  </w:t>
      </w:r>
      <w:r>
        <w:rPr>
          <w:rFonts w:ascii="Arial" w:cs="Arial" w:eastAsia="Arial" w:hAnsi="Arial"/>
          <w:sz w:val="22"/>
          <w:szCs w:val="22"/>
        </w:rPr>
        <w:t xml:space="preserve">Zur Phänomenologie des inneren Zeitbewusstseins (1893–1917). Husserliana X. Nijhoff, 1966.</w:t>
      </w:r>
    </w:p>
    <w:p>
      <w:pPr>
        <w:spacing w:after="100" w:before="60"/>
      </w:pPr>
      <w:r>
        <w:rPr>
          <w:rFonts w:ascii="Arial" w:cs="Arial" w:eastAsia="Arial" w:hAnsi="Arial"/>
          <w:b/>
          <w:bCs/>
          <w:sz w:val="22"/>
          <w:szCs w:val="22"/>
        </w:rPr>
        <w:t xml:space="preserve">Lachenmann, H.  </w:t>
      </w:r>
      <w:r>
        <w:rPr>
          <w:rFonts w:ascii="Arial" w:cs="Arial" w:eastAsia="Arial" w:hAnsi="Arial"/>
          <w:sz w:val="22"/>
          <w:szCs w:val="22"/>
        </w:rPr>
        <w:t xml:space="preserve">Musik als existentielle Erfahrung. Breitkopf &amp; Härtel, 1996.</w:t>
      </w:r>
    </w:p>
    <w:p>
      <w:pPr>
        <w:spacing w:after="100" w:before="60"/>
      </w:pPr>
      <w:r>
        <w:rPr>
          <w:rFonts w:ascii="Arial" w:cs="Arial" w:eastAsia="Arial" w:hAnsi="Arial"/>
          <w:b/>
          <w:bCs/>
          <w:sz w:val="22"/>
          <w:szCs w:val="22"/>
        </w:rPr>
        <w:t xml:space="preserve">Lerdahl, F.  </w:t>
      </w:r>
      <w:r>
        <w:rPr>
          <w:rFonts w:ascii="Arial" w:cs="Arial" w:eastAsia="Arial" w:hAnsi="Arial"/>
          <w:sz w:val="22"/>
          <w:szCs w:val="22"/>
        </w:rPr>
        <w:t xml:space="preserve">Tonal Pitch Space. Oxford University Press, 2001.</w:t>
      </w:r>
    </w:p>
    <w:p>
      <w:pPr>
        <w:spacing w:after="100" w:before="60"/>
      </w:pPr>
      <w:r>
        <w:rPr>
          <w:rFonts w:ascii="Arial" w:cs="Arial" w:eastAsia="Arial" w:hAnsi="Arial"/>
          <w:b/>
          <w:bCs/>
          <w:sz w:val="22"/>
          <w:szCs w:val="22"/>
        </w:rPr>
        <w:t xml:space="preserve">McAdams, S.  </w:t>
      </w:r>
      <w:r>
        <w:rPr>
          <w:rFonts w:ascii="Arial" w:cs="Arial" w:eastAsia="Arial" w:hAnsi="Arial"/>
          <w:sz w:val="22"/>
          <w:szCs w:val="22"/>
        </w:rPr>
        <w:t xml:space="preserve">Recognition of auditory sound sources and events. In S. McAdams &amp; E. Bigand (Eds.), Thinking in Sound. Oxford, 1993.</w:t>
      </w:r>
    </w:p>
    <w:p>
      <w:pPr>
        <w:spacing w:after="100" w:before="60"/>
      </w:pPr>
      <w:r>
        <w:rPr>
          <w:rFonts w:ascii="Arial" w:cs="Arial" w:eastAsia="Arial" w:hAnsi="Arial"/>
          <w:b/>
          <w:bCs/>
          <w:sz w:val="22"/>
          <w:szCs w:val="22"/>
        </w:rPr>
        <w:t xml:space="preserve">McAdams, S. et al.  </w:t>
      </w:r>
      <w:r>
        <w:rPr>
          <w:rFonts w:ascii="Arial" w:cs="Arial" w:eastAsia="Arial" w:hAnsi="Arial"/>
          <w:sz w:val="22"/>
          <w:szCs w:val="22"/>
        </w:rPr>
        <w:t xml:space="preserve">Perceptual scaling of synthesized musical timbres. Psychological Research, 58, 1999.</w:t>
      </w:r>
    </w:p>
    <w:p>
      <w:pPr>
        <w:spacing w:after="100" w:before="60"/>
      </w:pPr>
      <w:r>
        <w:rPr>
          <w:rFonts w:ascii="Arial" w:cs="Arial" w:eastAsia="Arial" w:hAnsi="Arial"/>
          <w:b/>
          <w:bCs/>
          <w:sz w:val="22"/>
          <w:szCs w:val="22"/>
        </w:rPr>
        <w:t xml:space="preserve">Murail, T.  </w:t>
      </w:r>
      <w:r>
        <w:rPr>
          <w:rFonts w:ascii="Arial" w:cs="Arial" w:eastAsia="Arial" w:hAnsi="Arial"/>
          <w:sz w:val="22"/>
          <w:szCs w:val="22"/>
        </w:rPr>
        <w:t xml:space="preserve">États, seuils, transitions. Entretemps, 1984.</w:t>
      </w:r>
    </w:p>
    <w:p>
      <w:pPr>
        <w:spacing w:after="100" w:before="60"/>
      </w:pPr>
      <w:r>
        <w:rPr>
          <w:rFonts w:ascii="Arial" w:cs="Arial" w:eastAsia="Arial" w:hAnsi="Arial"/>
          <w:b/>
          <w:bCs/>
          <w:sz w:val="22"/>
          <w:szCs w:val="22"/>
        </w:rPr>
        <w:t xml:space="preserve">Thoresen, L.  </w:t>
      </w:r>
      <w:r>
        <w:rPr>
          <w:rFonts w:ascii="Arial" w:cs="Arial" w:eastAsia="Arial" w:hAnsi="Arial"/>
          <w:sz w:val="22"/>
          <w:szCs w:val="22"/>
        </w:rPr>
        <w:t xml:space="preserve">Aural Sonology. Oslo: Norwegian Academy of Music, 2015. Cap. 8: Dynamic Forms.</w:t>
      </w:r>
    </w:p>
    <w:p>
      <w:pPr>
        <w:spacing w:after="100" w:before="60"/>
      </w:pPr>
      <w:r>
        <w:rPr>
          <w:rFonts w:ascii="Arial" w:cs="Arial" w:eastAsia="Arial" w:hAnsi="Arial"/>
          <w:b/>
          <w:bCs/>
          <w:sz w:val="22"/>
          <w:szCs w:val="22"/>
        </w:rPr>
        <w:t xml:space="preserve">Tremblay, P.A. et al.  </w:t>
      </w:r>
      <w:r>
        <w:rPr>
          <w:rFonts w:ascii="Arial" w:cs="Arial" w:eastAsia="Arial" w:hAnsi="Arial"/>
          <w:sz w:val="22"/>
          <w:szCs w:val="22"/>
        </w:rPr>
        <w:t xml:space="preserve">FluCoMa: Fluid Corpus Manipulation Toolbox. ICMC,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2026-06-11T18:08:44.572Z</dcterms:created>
  <dcterms:modified xsi:type="dcterms:W3CDTF">2026-06-11T18:08:44.587Z</dcterms:modified>
</cp:coreProperties>
</file>

<file path=docProps/custom.xml><?xml version="1.0" encoding="utf-8"?>
<Properties xmlns="http://schemas.openxmlformats.org/officeDocument/2006/custom-properties" xmlns:vt="http://schemas.openxmlformats.org/officeDocument/2006/docPropsVTypes"/>
</file>