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REMNANT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Sonic traces of a non-human world  /  Tracce sonore di un mondo non-umano</w:t>
      </w:r>
    </w:p>
    <w:p>
      <w:pPr>
        <w:pBdr>
          <w:bottom w:val="single" w:color="DDDDDD" w:sz="6" w:space="1"/>
        </w:pBdr>
        <w:spacing w:after="240" w:before="24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Note teoriche e tecniche  —  Theoretical and Technical Notes</w:t>
      </w:r>
    </w:p>
    <w:p>
      <w:pPr>
        <w:spacing w:after="28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v4  —  2025–2026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Panoramica  /  Overview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Remnant è un sistema di composizione acusmatica multicanale ed elettronica dal vivo per orchestra e diffusione ottofonica a 8 canali. Il motore compositivo naviga lo spazio timbrico orchestrale tramite moto browniano; in concerto, l’elettronica ascolta l’orchestra in tempo reale, trasformandone il segnale attraverso mappature di tensione derivate da Lerdahl.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Remnant is a multichannel acousmatic composition and live electronics system for orchestra and 8-channel octophonic diffusion. The compositional engine navigates orchestral timbral space through Brownian motion; in concert, electronics listen to the orchestra in real time, transforming its signal through Lerdahl-derived tension mappings.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Prospettiva biocentrica / Biocentric perspective: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 suoni strumentali come tracce di un mondo che continua a esistere indipendentemente dalla presenza umana. / Instrumental sounds as traces of a world that continues to exist independently of human presence.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Spazio Timbrico  /  Timbral Space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1.1  Corpus e UMAP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corpus di base è ConTimbre Standard V2 (Thomas Grill), che raccoglie tecniche estese per orchestra sinfonica. Ogni suono è descritto da sei descrittori acustici: altezza (MIDI), dinamica (numerica), complessità spettrale, centroide spettrale, durata, intensità assoluta. / The base corpus is ConTimbre Standard V2 (Thomas Grill), covering extended techniques for symphony orchestra. Each sound is described by six acoustic descriptors: pitch (MIDI), dynamics (numeric), spectral complexity, spectral centroid, duration, absolute intensity.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riduzione dimensionale utilizza UMAP con ponderazione percettiva derivata da McAdams (1993, 1999). / Dimensionality reduction uses UMAP with McAdams perceptual weighting: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Descrittore / Descriptor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McAdams / Weight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spectral_center (centroide / centroid)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spectral_complexity (flusso / flux)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(altezza / pitch)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dynamic_num, duration, intensity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centroide spettrale è la dimensione percettivamente più saliente (McAdams 1993); il flusso spettrale la seconda. / Spectral centroid is the perceptually most salient dimension; spectral flux is second.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1.2  Gerarchia Timbrica di Lerdahl  /  Lerdahl Timbral Hierarchy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tensione timbrica segue la gerarchia proposta da Lerdahl (2001) in Tonal Pitch Space, adattata al dominio timbrico: maggiore è la distanza di un suono dalla regione stabile dello spazio UMAP, maggiore è la tensione percepita. La tensione di campo è calcolata come media della volatilità browniana normalizzata su [0,1].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Timbral tension follows the hierarchy proposed by Lerdahl (2001) adapted to the timbral domain: the greater the distance from the stable UMAP region, the higher the perceived tension. Field tension is computed as the mean of Brownian volatility normalised over [0,1].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1.3  Selezione per Immagine Sonora  /  Sound Image Selection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alternativa al moto browniano libero, il compositore può definire un’immagine sonora tramite quattro slider percettivi (centroide, texture, altezza, dinamica) e un parametro Breadth. Il sistema seleziona gli N suoni più vicini per distanza euclidea ponderata McAdams. / Alternatively, the composer can define a sound image via four perceptual sliders and Breadth. The system selects the N closest sounds by McAdams-weighted Euclidean distance: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 = Σ W[k] × (descriptor[k] − target[k])²  /  Σ W[k]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L’immagine sonora può essere sostituita da un file audio (approccio Orchidea / MaxOrch): estrazione feature con librosa, normalizzazione McAdams, proiezione in UMAP tramite umap_model.pkl. / The sound image can be replaced by an audio file (Orchidea/MaxOrch approach): feature extraction with librosa, McAdams normalisation, UMAP projection via umap_model.pkl.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Moto Browniano  /  Brownian Motion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2.1  Percorso e Distanze Euclidee  /  Path and Euclidean Distances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Ogni campo è un percorso browniano autonomo nello spazio UMAP. Ad ogni passo il percorso si sposta di un vettore casuale con componente di deriva (dx, dy) e componente stocastica scalata dalla volatilità corrente. / Each field is an independent Brownian path in UMAP space. At each step the path moves by a random vector with drift (dx, dy) and stochastic component scaled by current volatility: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x_{n+1} = clip(x_n + dx + attraction·(x_attr − x_n) + volatility·U(−1,1))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distanze euclidee inter-passo nello spazio UMAP diventano proporzioni temporali: passi lunghi corrispondono a maggiore durata. Questo garantisce che il ritmo emerga dalla geometria del percorso. / Inter-step Euclidean distances in UMAP space become temporal proportions: long steps correspond to greater duration. This ensures rhythm emerges from path geometry.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2.2  Attrattori  /  Attractors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Due tipi di attrattori: / Two attractor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Form (Thoresen): centroide delle coordinate UMAP della categoria Lachenmann corrispondente. / centroid of UMAP coordinates for the corresponding Lachenmann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audio (stile Orchidea): file audio proiettato nel piano UMAP; sostituisce il centroide della Dynamic Form. / Audio file projected into UMAP plane; replaces Dynamic Form centroid.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2.3  Profilo di Tensione  /  Tension Profile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 ogni passo del percorso è associato un valore di tensione dipendente dalla direzione del campo. / Each path step has a tension value depending on field direction: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Direzione / Direction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Profilo / Profile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t_rel·0.8 + 0.2  (crescente / rising)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1.0 − t_rel·0.8  (decrescente / falling)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 + 0.10·sin(t_rel·π)  (stabile / stable)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dist/range  (dalla distanza euclidea / from Euclidean distance)</w:t>
            </w:r>
          </w:p>
        </w:tc>
      </w:tr>
    </w:tbl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Dynamic Form (Thoresen)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3.1  Direzioni Temporali  /  Temporal Directions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Dynamic Forms di Thoresen (Aural Sonology, cap. 8) descrivono le modalità di tensione-rilascio del suono musicale come direzioni temporali intrinseche. In Remnant sono implementate come attrattori UMAP e come modulatori del profilo di tensione e della categoria Lachenmann. / Thoresen’s Dynamic Forms describe tension-release modes as intrinsic temporal directions, implemented as UMAP attractors and tension/Lachenmann modulators: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Direzione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Attore UMAP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Bassa tensione (&lt;0.7)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 tensione (≥0.7)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centroide Kadenz/Textur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Kadenz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centroide Farbklang/Geräusch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Farbklang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Geräusch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centroide Klang/Stille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Klang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Stille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volatilità browniana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</w:t>
            </w:r>
          </w:p>
        </w:tc>
      </w:tr>
    </w:tbl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Griglia Pulsativa e RTM  /  Pulse Grid and RTM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4.1  Griglia nella Partitura Grafica  /  Grid in the Graphic Score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griglia pulsativa codifica le distanze euclidee browniane inter-passo come frazioni razionali binarie (denominatore ≤8, sistema Ferneyhough). Ogni cella porta il proprio BPM locale derivato dalla tensione per-passo: BPM = 40 + tensione × 80, agganciato a [40, 48, 60, 72, 80, 96, 120]. Le durate assolute in secondi rimangono invarianti. / The pulse grid encodes Brownian inter-step distances as binary rational fractions (denominator ≤8, Ferneyhough system). Each cell carries its own local BPM from per-step tension. Absolute durations remain invariant.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4.2  Esportazione RTM per OpenMusic  /  RTM Export for OpenMusic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Il bottone Export RTM for OpenMusic genera scores/rtm_ferneyhough.lisp con un albero ritmico gerarchico a tre livelli per ogni campo, nel formato nativo della classe voice di OpenMusic 8. / The Export RTM button generates scores/rtm_ferneyhough.lisp with a three-level hierarchical rhythm tree for each field, in OpenMusic 8 voice class format.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Livello 1 — Firma di misura  /  Level 1 — Time signature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Ogni cella browniana diventa una misura con firma (n d), d ∈ {2, 4, 8, 16}, n ∈ [1,16], scelta in modo che il BPM locale sia nel range [40, 240] e il più vicino possibile al BPM globale del gesto. / Each Brownian cell becomes a measure with signature (n d), d ∈ {2,4,8,16}, n ∈ [1,16], chosen so local BPM is within [40,240] and closest to global gesture BPM: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bpm_locale = 240 × n / (dur_cella_sec × d)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durata assoluta della cella è proporzionale alla sua distanza euclidea cumulativa. La partizione usa una soglia cumulativa: ogni passo è assegnato alla cella in cui cade il suo punto medio. Celle vuote → pausa (-1). / Cell absolute duration is proportional to its cumulative Euclidean distance. Partitioning uses cumulative threshold. Empty cells → rest (-1).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Livello 2 — Suddivisione della misura  /  Level 2 — Measure subdivision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passi browniani nella cella sono ponderati proporzionalmente alle loro distanze euclidee e quantizzati con denominatore ≤8. La somma dei pesi è esatta per distribuzione dell’errore di arrotondamento. / Brownian steps within a cell are weighted proportionally to their Euclidean distances and quantised with denominator ≤8. Sum is exact by rounding-error distribution.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Livello 3 — Sotto-suddivisione  /  Level 3 — Sub-subdivision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Ogni passo è ulteriormente suddiviso in base al suo valore di tension_profile. / Each step is further subdivided based on its tension_profile value: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tensione ≤0.25 → nota intera  /  tension ≤0.25 → whole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tensione 0.25–0.50 → 2–5 suddivisioni quasi-uniformi  /  2–5 near-uniform subdivisions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tensione &gt;0.50 → 3–8 suddivisioni, distribuzione esponenziale, preferenza denominatori dispari (3, 5, 7)  /  3–8 subdivisions, exponential distribution, odd denominators preferred</w:t>
      </w:r>
    </w:p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Seed deterministica per gesto: gidx × 1000 + 7. Garantisce riproducibilità a parità di score. / Deterministic seed per gesture: gidx × 1000 + 7. Ensures reproducibility.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Lisp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(defparameter *rtm-gesto1*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(make-instance 'voice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:tree '(? (((7 8) (1 (1 2))) ((9 8) ((1 (3 1)) ...)) ...))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:tempo (list '(1/4 58.8)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       (list '((1 0) (1/4 58.8 nil)) '((2 0) (1/4 61.4 nil)) ...))))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Presente Vivente  /  Living Present  (Husserl)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5.1  Struttura della Coscienza Temporale  /  Structure of Temporal Consciousness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tensione in SuperCollider implementa la struttura husserliana del Lebendige Gegenwart — il presente vivente come spessore temporale che comprende tre momenti inscindibili. / Tension in SuperCollider implements Husserl’s Lebendige Gegenwart — the living present as temporal thickness encompassing three inseparable moments: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Momento / Moment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Husserl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Implementazione SC / SC Implementation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 / Weight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Ritenzione / Retention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Passato immediato risonante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esponenziale ultimi 8 valori (~r_retentionValue)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Impressione primale / Primal impression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presente istantaneo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Tensione composita: score + FluCoMa × 0.4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Protenzione / Protention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 imminente anticipato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AppClock routine, legge score 2s in anticipo (~r_protenzioneRoutine)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</w:tr>
    </w:tbl>
    <w:p>
      <w:pPr>
        <w:spacing w:after="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living_present = impression × 0.60 + retention × 0.25 + protention × 0.15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tre momenti non sono separati: formano un unico spessore temporale intorno al presente. Le transizioni di categoria non sono mai abrupte. / The three moments form a single temporal thickness. Category transitions are never abrupt.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5.2  Analisi FluCoMa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FluidLoudness e FluidSpectralShape estraggono loudness RMS e centroide spettrale in tempo reale dal segnale orchestrale. Contributo massimo: 40% della tensione composita. / FluidLoudness and FluidSpectralShape extract RMS loudness and spectral centroid from the orchestral signal in real time. Max contribution: 40% of composite tension: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flucos_tension = 0.5 × norm(loudness) + 0.5 × norm(centroid)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composite = score_tension × 0.6 + flucos_tension × 0.4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Catena del Segnale  /  Signal Chain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6.1  Pipeline di Mascheramento (Lerdahl)  /  Masking Pipeline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tensione 0.0 la sorgente è completamente riconoscibile; a tensione 1.0 è completamente irriconoscibile. La pipeline opera in serie su ogni campo: PitchShift → Convolution2 → FreqShift → BPF. Il segnale secco è moltiplicato per (1 − tensione)^1.5. / At tension 0.0 the source is fully recognisable; at 1.0 completely unrecognisable. Pipeline per field: PitchShift → Convolution2 → FreqShift → BPF. Dry = (1 − tension)^1.5.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95959"/>
          <w:sz w:val="26"/>
          <w:szCs w:val="26"/>
        </w:rPr>
        <w:t xml:space="preserve">6.2  Categorie IR (Lachenmann)  /  IR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Carattere IR  /  IR character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freq shift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BPF Q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Klang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Parziali armonici, decay lungo / Harmonic partials, long decay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Hz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Farbklang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Rapporti inarmonici (φ, √2…) / Inharmonic ratios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Hz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Geräusch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Rumore broadband / Broadband noise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Hz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Kadenz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Treno di impulsi / Impulse train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Hz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 lenta / Slow FM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Hz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Quasi-impulso / Near-impulse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Hz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Risonanza neutra / Neutral resonance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Hz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</w:tbl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Spazio e Diffusione  /  Space and Diffusion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Ogni evento ha un azimuth (0–360°) calcolato dalla coordinata Y nello spazio UMAP: azimuth = (Y − Y_min) / (Y_max − Y_min) × 360°. Il panning ottofonia è implementato tramite VBAP a 8 canali (ITU-R BS.775). / Each event has an azimuth (0–360°) from UMAP Y coordinate. Octophonic panning via 8-channel VBAP (ITU-R BS.775).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sviluppo: ePlayer → BlackHole CH 0–3 → SoundIn(0–3). In concerto: microfoni live → SC direttamente. / Development: ePlayer → BlackHole CH 0–3. Concert: live microphones → SC directly.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Partitura Grafica  /  Graphic Score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partitura è generata in Plotly/Dash. Ogni campo è visualizzato su un asse azimutale (0–360°). Elementi per evento: / The score is generated in Plotly/Dash. Each field on an azimuthal axis. Per-event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Rigo a 5 linee centrato sull’azimuth; testa di nota (simbolo per categoria Lachenmann)  /  5-line staff centred on azimuth; notehead (symbol by Lachenmann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Dinamica in corsivo da tension_profile  /  Italic dynamic from tension_profile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Stagger alternato ±14° per eventi con azimuth coincidente  /  Alternating stagger ±14° for coincident azimuths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Watermark F.N semitrasparente  /  Semitransparent F.N watermark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ConTimbre: click su evento apre la pagina HTML dello strumento  /  ConTimbre links: click opens instrument HTML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SVG vettoriale  /  Vector SVG export</w:t>
      </w:r>
    </w:p>
    <w:p>
      <w:pPr>
        <w:pBdr>
          <w:bottom w:val="single" w:color="DDDDDD" w:sz="6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Riferimenti  /  References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Ferneyhough, B.  </w:t>
      </w:r>
      <w:r>
        <w:rPr>
          <w:rFonts w:ascii="Arial" w:cs="Arial" w:eastAsia="Arial" w:hAnsi="Arial"/>
          <w:sz w:val="22"/>
          <w:szCs w:val="22"/>
        </w:rPr>
        <w:t xml:space="preserve">Collected Writings. Ed. J. Boros &amp; R. Toop. Harwood Academic, 1995.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Grill, T.  </w:t>
      </w:r>
      <w:r>
        <w:rPr>
          <w:rFonts w:ascii="Arial" w:cs="Arial" w:eastAsia="Arial" w:hAnsi="Arial"/>
          <w:sz w:val="22"/>
          <w:szCs w:val="22"/>
        </w:rPr>
        <w:t xml:space="preserve">ConTimbre: A Corpus of Contemporary Orchestral Timbres. 2023. contimbre.com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Husserl, E.  </w:t>
      </w:r>
      <w:r>
        <w:rPr>
          <w:rFonts w:ascii="Arial" w:cs="Arial" w:eastAsia="Arial" w:hAnsi="Arial"/>
          <w:sz w:val="22"/>
          <w:szCs w:val="22"/>
        </w:rPr>
        <w:t xml:space="preserve">Zur Phänomenologie des inneren Zeitbewusstseins (1893–1917). Husserliana X. Nijhoff, 1966.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Lachenmann, H.  </w:t>
      </w:r>
      <w:r>
        <w:rPr>
          <w:rFonts w:ascii="Arial" w:cs="Arial" w:eastAsia="Arial" w:hAnsi="Arial"/>
          <w:sz w:val="22"/>
          <w:szCs w:val="22"/>
        </w:rPr>
        <w:t xml:space="preserve">Musik als existentielle Erfahrung. Breitkopf &amp; Härtel, 1996.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Lerdahl, F.  </w:t>
      </w:r>
      <w:r>
        <w:rPr>
          <w:rFonts w:ascii="Arial" w:cs="Arial" w:eastAsia="Arial" w:hAnsi="Arial"/>
          <w:sz w:val="22"/>
          <w:szCs w:val="22"/>
        </w:rPr>
        <w:t xml:space="preserve">Tonal Pitch Space. Oxford University Press, 2001.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McAdams, S.  </w:t>
      </w:r>
      <w:r>
        <w:rPr>
          <w:rFonts w:ascii="Arial" w:cs="Arial" w:eastAsia="Arial" w:hAnsi="Arial"/>
          <w:sz w:val="22"/>
          <w:szCs w:val="22"/>
        </w:rPr>
        <w:t xml:space="preserve">Recognition of auditory sound sources and events. In S. McAdams &amp; E. Bigand (Eds.), Thinking in Sound. Oxford, 1993.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McAdams, S. et al.  </w:t>
      </w:r>
      <w:r>
        <w:rPr>
          <w:rFonts w:ascii="Arial" w:cs="Arial" w:eastAsia="Arial" w:hAnsi="Arial"/>
          <w:sz w:val="22"/>
          <w:szCs w:val="22"/>
        </w:rPr>
        <w:t xml:space="preserve">Perceptual scaling of synthesized musical timbres. Psychological Research, 58, 1999.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Thoresen, L.  </w:t>
      </w:r>
      <w:r>
        <w:rPr>
          <w:rFonts w:ascii="Arial" w:cs="Arial" w:eastAsia="Arial" w:hAnsi="Arial"/>
          <w:sz w:val="22"/>
          <w:szCs w:val="22"/>
        </w:rPr>
        <w:t xml:space="preserve">Aural Sonology. Oslo: Norwegian Academy of Music, 2015. Ch. 8: Dynamic Forms.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Tremblay, P.A. et al.  </w:t>
      </w:r>
      <w:r>
        <w:rPr>
          <w:rFonts w:ascii="Arial" w:cs="Arial" w:eastAsia="Arial" w:hAnsi="Arial"/>
          <w:sz w:val="22"/>
          <w:szCs w:val="22"/>
        </w:rPr>
        <w:t xml:space="preserve">FluCoMa: Fluid Corpus Manipulation Toolbox. ICMC, 2021.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959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2026-06-11T17:52:55.603Z</dcterms:created>
  <dcterms:modified xsi:type="dcterms:W3CDTF">2026-06-11T17:52:55.603Z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