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FUNCTIONAL REQUIREMENTS DOCUMENT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Telecom Network Complaint &amp; SLA Optimization</w:t>
      </w:r>
    </w:p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Requirements Document (FRD)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Telecom Network Complaint &amp; SLA Optimization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Naived Chourasia — Business Analyst (MBA, Business Analytics)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June 2026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— Self-Initiated Portfolio Project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Requirements Document (BRD) v1.0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Functional Requirements Document (FRD) translates the business requirements defined in the BRD into specific functional specifications — describing what the system or process must do, the data it requires, and the rules governing its behaviour.</w:t>
      </w:r>
    </w:p>
    <w:p>
      <w:pPr>
        <w:pStyle w:val="Heading2"/>
      </w:pPr>
      <w:r>
        <w:t xml:space="preserve">1.2 Reference Document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should be read alongside the Business Requirements Document (BRD) v1.0 for the Telecom Network Complaint &amp; SLA Optimization project. Each functional requirement below is mapped to the business requirement it fulfils.</w:t>
      </w:r>
    </w:p>
    <w:p>
      <w:pPr>
        <w:pStyle w:val="Heading1"/>
      </w:pPr>
      <w:r>
        <w:t xml:space="preserve">2.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5026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BR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BR-01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complaint intake, require selection of a complaint type (Network, Billing, Device, Service) and a severity level (Low / Medium / High / Critical).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complaint record can be saved without complaint type and severity populated.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BR-02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Automatically assign an SLA target (in hours) to each complaint via a lookup table keyed by complaint type + severity.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target hours populate automatically with zero manual entry.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BR-03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each complaint to the nearest available engineer whose skill tag matches the complaint type.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95%+ of complaints assigned to a correctly skill-matched engineer within the same region.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BR-04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 elapsed time against the SLA target; flag tickets at ≥70% of SLA window as “At Risk” and ≥100% as “Breached.”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flag updates automatically as elapsed time changes; no manual flagging required.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BR-05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complaints by region + fault location; flag any location with ≥3 same-type complaints within a rolling 30-day window as “Recurring Root Cause.”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 root-cause list refreshes with each data load and is visible on the dashboard.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BR-06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 engineer utilisation as (assigned tickets ÷ average regional ticket load), shown by engineer and by region.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Utilisation metric available as both a regional average and a per-engineer breakdown.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BR-07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displays total complaints, SLA compliance %, average MTTR, engineer utilisation, and complaint trend on one executive view.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five metrics visible without scrolling or drilling into a sub-page.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BR-08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slicers for region, complaint type, severity, and date range; all visuals respond to slicer selection.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Changing any slicer updates all visuals within 2 seconds (manual test).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BR-09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every SLA breach with complaint ID, breach duration, complaint type, and region in a permanent, queryable record.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log is exportable and matches the count shown on the dashboard.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BR-10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any complaint where the same customer ID has logged the same complaint type within the prior 90 days as “Repeat Complaint.”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 flag is visible on the complaint record and counted in a dedicated KPI.</w:t>
            </w:r>
          </w:p>
        </w:tc>
      </w:tr>
    </w:tbl>
    <w:p>
      <w:pPr>
        <w:pStyle w:val="Heading1"/>
      </w:pPr>
      <w:r>
        <w:t xml:space="preserve">3. Process Flow</w:t>
      </w:r>
    </w:p>
    <w:p>
      <w:pPr>
        <w:pStyle w:val="Heading2"/>
      </w:pPr>
      <w:r>
        <w:t xml:space="preserve">3.1 AS-IS Process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Customer logs a complaint via call centre or app — categorisation is inconsistent and largely free-text.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Call centre manually assigns the complaint to an available engineer, without skill or proximity logic.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Engineer resolves the issue at their own pace; there is no real-time SLA tracking.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SLA compliance is calculated only in a monthly retrospective report.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Root causes are never aggregated — each ticket is closed independently.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Engineer workload is invisible to operations managers until complaints or overtime issues surface.</w:t>
      </w:r>
    </w:p>
    <w:p>
      <w:pPr>
        <w:pStyle w:val="Heading2"/>
      </w:pPr>
      <w:r>
        <w:t xml:space="preserve">3.2 TO-BE Process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Customer logs a complaint; the system requires a standardised complaint type and severity at intake.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auto-calculates the SLA target and auto-routes the ticket to a correctly skilled, regionally available engineer.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tracks elapsed time in real time, flagging at-risk tickets before they breach.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Root-cause engine continuously aggregates complaints by location and type, surfacing recurring infrastructure faults.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Operations managers view an engineer-utilisation dashboard and rebalance assignments proactively.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Leadership views a single executive dashboard for SLA compliance, MTTR, and trend — no more waiting on monthly reports.</w:t>
      </w:r>
    </w:p>
    <w:p>
      <w:pPr>
        <w:pStyle w:val="Heading2"/>
      </w:pPr>
      <w:r>
        <w:t xml:space="preserve">3.3 AS-IS vs. TO-BE — Stage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Stage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 Intake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Free-text logging, inconsistent categorisation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Standardised type + severity required at intake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Assignment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Manual, availability-based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skill + proximity-based routing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Monitoring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Retrospective monthly report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at-risk flagging (70% / 100% thresholds)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aggregated; ticket-by-ticket closure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aggregation; recurring-fault flagging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Workload Management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Invisible until overload or complaints surface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utilisation dashboard per engineer / region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monthly compliance report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executive dashboard with drill-down filters</w:t>
            </w:r>
          </w:p>
        </w:tc>
      </w:tr>
    </w:tbl>
    <w:p>
      <w:pPr>
        <w:pStyle w:val="Heading1"/>
      </w:pPr>
      <w:r>
        <w:t xml:space="preserve">4. Data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complaints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complaint_id, customer_id, region, complaint_type, severity, fault_location, created_at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customer complaint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complaint_id, engineer_id, assigned_at, resolved_at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 dispatch and resolution timestamps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engineers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engineer_id, region, skill_type, name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 master data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sla_targets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complaint_type, severity, target_hours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lookup table by type / severity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customer_id, region, prior_complaint_count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for repeat-complaint flagging</w:t>
            </w:r>
          </w:p>
        </w:tc>
      </w:tr>
    </w:tbl>
    <w:p>
      <w:pPr>
        <w:pStyle w:val="Heading1"/>
      </w:pPr>
      <w:r>
        <w:t xml:space="preserve">5. Business Rules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SLA target hours are fixed per (complaint_type, severity) combination and do not vary by region.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ticket reaching 70% of its SLA window without resolution is flagged “At Risk”; 100%+ is “Breached.”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fault location with 3 or more same-type complaints within a rolling 30-day window is flagged “Recurring Root Cause.”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customer logging the same complaint type twice within 90 days is flagged “Repeat Complaint.”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Engineer utilisation is recalculated daily and is relative to the regional average ticket load, not a fixed absolute number.</w:t>
      </w:r>
    </w:p>
    <w:p>
      <w:pPr>
        <w:pStyle w:val="Heading1"/>
      </w:pPr>
      <w:r>
        <w:t xml:space="preserve">6. Dashboard / Reporting Requirements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cards: Total Complaints, SLA Compliance %, Average MTTR, Engineer Utilisation.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 visual: complaint volume and SLA breaches over time (line / area chart).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Regional visual: SLA compliance by region (heatmap or bar chart).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Root-cause visual: top recurring fault locations / types (Pareto-style bar chart).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 visual: ticket-load distribution by engineer and region.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Slicers: Region, Complaint Type, Severity, Date Range.</w:t>
      </w:r>
    </w:p>
    <w:p>
      <w:pPr>
        <w:pStyle w:val="Heading1"/>
      </w:pPr>
      <w:r>
        <w:t xml:space="preserve">7. Non-Functional Requirements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must load and respond to filter changes within 2–3 seconds for a 100,000+ row dataset.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reporting must be exportable (PDF / PNG) for stakeholder circulation.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data model must be normalised (not a single flat table) to support efficient querying.</w:t>
      </w:r>
    </w:p>
    <w:p>
      <w:pPr>
        <w:pStyle w:val="Heading1"/>
      </w:pPr>
      <w:r>
        <w:t xml:space="preserve">8. Assumptions &amp; 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Depends on the synthetic dataset being generated to reflect realistic complaint-type and severity distributions.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Assumes Power BI as the reporting layer, with SQL views feeding it directly.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Assumes no real-time system integration — refresh is batch / manual for this portfolio project.</w:t>
      </w:r>
    </w:p>
    <w:p>
      <w:pPr>
        <w:pStyle w:val="Heading1"/>
      </w:pPr>
      <w:r>
        <w:t xml:space="preserve">9. Acceptance Criteria / Sign-off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FRD is considered complete when: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functional requirements (FR-01 to FR-10) are reflected in the SQL schema, Python analysis, and Power BI dashboard.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BRD business requirement has at least one corresponding FRD functional requirement.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dashboard demonstrably answers each KPI defined in the BRD's Success Criteria section.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Naived Chourasia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Analyst (Author)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June 2026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[Simulated] Network Operations Manager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Reviewer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Telecom Network Complaint &amp; SLA Optimization — FRD</w:t>
    </w:r>
    <w:r>
      <w:rPr>
        <w:rFonts w:ascii="Arial" w:cs="Arial" w:eastAsia="Arial" w:hAnsi="Arial"/>
        <w:color w:val="888888"/>
        <w:sz w:val="16"/>
        <w:szCs w:val="16"/>
      </w:rPr>
      <w:t xml:space="preserve">	Naived Chourasia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2026-06-23T08:56:21.103Z</dcterms:created>
  <dcterms:modified xsi:type="dcterms:W3CDTF">2026-06-23T08:56:21.103Z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