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Q1 升降机系统 / Lift Systems</w:t>
      </w:r>
    </w:p>
    <w:p>
      <w:pPr>
        <w:pStyle w:val="Heading1"/>
      </w:pPr>
      <w:r>
        <w:t>1 电力曳引式升降机 / Electric traction lift</w:t>
      </w:r>
    </w:p>
    <w:p>
      <w:r>
        <w:t>电力曳引式升降机由电动机驱动曳引轮，通过曳引轮与悬吊钢丝绳之间的摩擦传递动力，使轿厢和对重沿导轨反向移动。对重平衡部分重量，减少电动机需要克服的不平衡负载。</w:t>
      </w:r>
    </w:p>
    <w:p>
      <w:r>
        <w:t>An electric traction lift uses a motor to rotate a traction sheave. Friction between the sheave and suspension ropes moves the car and counterweight in opposite directions along their guide rails. The counterweight balances part of the load, reducing the unbalanced load that the motor must overcome.</w:t>
      </w:r>
    </w:p>
    <w:p>
      <w:pPr>
        <w:spacing w:after="60"/>
        <w:jc w:val="center"/>
      </w:pPr>
      <w:r>
        <w:drawing>
          <wp:inline xmlns:a="http://schemas.openxmlformats.org/drawingml/2006/main" xmlns:pic="http://schemas.openxmlformats.org/drawingml/2006/picture">
            <wp:extent cx="3660542" cy="5940000"/>
            <wp:docPr id="1" name="Picture 1"/>
            <wp:cNvGraphicFramePr>
              <a:graphicFrameLocks noChangeAspect="1"/>
            </wp:cNvGraphicFramePr>
            <a:graphic>
              <a:graphicData uri="http://schemas.openxmlformats.org/drawingml/2006/picture">
                <pic:pic>
                  <pic:nvPicPr>
                    <pic:cNvPr id="0" name="traction_ppt.png"/>
                    <pic:cNvPicPr/>
                  </pic:nvPicPr>
                  <pic:blipFill>
                    <a:blip r:embed="rId11"/>
                    <a:stretch>
                      <a:fillRect/>
                    </a:stretch>
                  </pic:blipFill>
                  <pic:spPr>
                    <a:xfrm>
                      <a:off x="0" y="0"/>
                      <a:ext cx="3660542" cy="5940000"/>
                    </a:xfrm>
                    <a:prstGeom prst="rect"/>
                  </pic:spPr>
                </pic:pic>
              </a:graphicData>
            </a:graphic>
          </wp:inline>
        </w:drawing>
      </w:r>
    </w:p>
    <w:p>
      <w:pPr>
        <w:pStyle w:val="Caption"/>
        <w:jc w:val="center"/>
      </w:pPr>
      <w:r>
        <w:t>图 1 电力曳引式升降机 / Figure 1 Electric traction lift</w:t>
      </w:r>
    </w:p>
    <w:p>
      <w:r>
        <w:br w:type="page"/>
      </w:r>
    </w:p>
    <w:p>
      <w:pPr>
        <w:pStyle w:val="Heading1"/>
      </w:pPr>
      <w:r>
        <w:t>1.1 主要部件及功能 / Major components (1/2)</w:t>
      </w:r>
    </w:p>
    <w:tbl>
      <w:tblPr>
        <w:tblStyle w:val="TableGrid"/>
        <w:tblW w:type="auto" w:w="0"/>
        <w:tblLayout w:type="fixed"/>
        <w:tblLook w:firstColumn="1" w:firstRow="1" w:lastColumn="0" w:lastRow="0" w:noHBand="0" w:noVBand="1" w:val="04A0"/>
      </w:tblPr>
      <w:tblGrid>
        <w:gridCol w:w="2098"/>
        <w:gridCol w:w="3288"/>
        <w:gridCol w:w="4706"/>
      </w:tblGrid>
      <w:tr>
        <w:trPr>
          <w:tblHeader/>
        </w:trPr>
        <w:tc>
          <w:tcPr>
            <w:tcW w:type="dxa" w:w="2098"/>
            <w:shd w:fill="17364D"/>
          </w:tcPr>
          <w:p>
            <w:r>
              <w:rPr>
                <w:b/>
                <w:color w:val="FFFFFF"/>
              </w:rPr>
              <w:t>部件 / Component</w:t>
            </w:r>
          </w:p>
        </w:tc>
        <w:tc>
          <w:tcPr>
            <w:tcW w:type="dxa" w:w="3288"/>
            <w:shd w:fill="17364D"/>
          </w:tcPr>
          <w:p>
            <w:r>
              <w:rPr>
                <w:b/>
                <w:color w:val="FFFFFF"/>
              </w:rPr>
              <w:t>功能</w:t>
            </w:r>
          </w:p>
        </w:tc>
        <w:tc>
          <w:tcPr>
            <w:tcW w:type="dxa" w:w="4706"/>
            <w:shd w:fill="17364D"/>
          </w:tcPr>
          <w:p>
            <w:r>
              <w:rPr>
                <w:b/>
                <w:color w:val="FFFFFF"/>
              </w:rPr>
              <w:t>Operational function</w:t>
            </w:r>
          </w:p>
        </w:tc>
      </w:tr>
      <w:tr>
        <w:trPr>
          <w:cantSplit/>
        </w:trPr>
        <w:tc>
          <w:tcPr>
            <w:tcW w:type="dxa" w:w="2098"/>
          </w:tcPr>
          <w:p>
            <w:pPr>
              <w:spacing w:before="60" w:after="80" w:line="259" w:lineRule="auto"/>
            </w:pPr>
            <w:r>
              <w:rPr>
                <w:b/>
                <w:sz w:val="19"/>
              </w:rPr>
              <w:t>1 轿厢及轿架</w:t>
              <w:br/>
              <w:t>Car and car sling</w:t>
            </w:r>
          </w:p>
        </w:tc>
        <w:tc>
          <w:tcPr>
            <w:tcW w:type="dxa" w:w="3288"/>
          </w:tcPr>
          <w:p>
            <w:pPr>
              <w:spacing w:before="60" w:after="80" w:line="259" w:lineRule="auto"/>
            </w:pPr>
            <w:r>
              <w:rPr>
                <w:sz w:val="19"/>
              </w:rPr>
              <w:t>轿厢承载乘客或货物；轿架承托轿厢，并与悬吊及导向部件连接。</w:t>
            </w:r>
          </w:p>
        </w:tc>
        <w:tc>
          <w:tcPr>
            <w:tcW w:type="dxa" w:w="4706"/>
          </w:tcPr>
          <w:p>
            <w:pPr>
              <w:spacing w:before="60" w:after="80" w:line="259" w:lineRule="auto"/>
            </w:pPr>
            <w:r>
              <w:rPr>
                <w:sz w:val="19"/>
              </w:rPr>
              <w:t>The car carries passengers or goods. The car sling supports the car and connects it to the suspension and guiding components.</w:t>
            </w:r>
          </w:p>
        </w:tc>
      </w:tr>
      <w:tr>
        <w:trPr>
          <w:cantSplit/>
        </w:trPr>
        <w:tc>
          <w:tcPr>
            <w:tcW w:type="dxa" w:w="2098"/>
          </w:tcPr>
          <w:p>
            <w:pPr>
              <w:spacing w:before="60" w:after="80" w:line="259" w:lineRule="auto"/>
            </w:pPr>
            <w:r>
              <w:rPr>
                <w:b/>
                <w:sz w:val="19"/>
              </w:rPr>
              <w:t>2 驱动电动机</w:t>
              <w:br/>
              <w:t>Drive motor</w:t>
            </w:r>
          </w:p>
        </w:tc>
        <w:tc>
          <w:tcPr>
            <w:tcW w:type="dxa" w:w="3288"/>
          </w:tcPr>
          <w:p>
            <w:pPr>
              <w:spacing w:before="60" w:after="80" w:line="259" w:lineRule="auto"/>
            </w:pPr>
            <w:r>
              <w:rPr>
                <w:sz w:val="19"/>
              </w:rPr>
              <w:t>提供升降动力。无齿轮式直接驱动曳引轮；有齿轮式通过减速装置驱动。</w:t>
            </w:r>
          </w:p>
        </w:tc>
        <w:tc>
          <w:tcPr>
            <w:tcW w:type="dxa" w:w="4706"/>
          </w:tcPr>
          <w:p>
            <w:pPr>
              <w:spacing w:before="60" w:after="80" w:line="259" w:lineRule="auto"/>
            </w:pPr>
            <w:r>
              <w:rPr>
                <w:sz w:val="19"/>
              </w:rPr>
              <w:t>The motor supplies driving power. It drives the sheave directly in a gearless lift or through reduction gearing in a geared lift.</w:t>
            </w:r>
          </w:p>
        </w:tc>
      </w:tr>
      <w:tr>
        <w:trPr>
          <w:cantSplit/>
        </w:trPr>
        <w:tc>
          <w:tcPr>
            <w:tcW w:type="dxa" w:w="2098"/>
          </w:tcPr>
          <w:p>
            <w:pPr>
              <w:spacing w:before="60" w:after="80" w:line="259" w:lineRule="auto"/>
            </w:pPr>
            <w:r>
              <w:rPr>
                <w:b/>
                <w:sz w:val="19"/>
              </w:rPr>
              <w:t>3 曳引轮及减速装置</w:t>
              <w:br/>
              <w:t>Traction sheave and reduction gearing</w:t>
            </w:r>
          </w:p>
        </w:tc>
        <w:tc>
          <w:tcPr>
            <w:tcW w:type="dxa" w:w="3288"/>
          </w:tcPr>
          <w:p>
            <w:pPr>
              <w:spacing w:before="60" w:after="80" w:line="259" w:lineRule="auto"/>
            </w:pPr>
            <w:r>
              <w:rPr>
                <w:sz w:val="19"/>
              </w:rPr>
              <w:t>曳引轮通过与钢丝绳的摩擦传递牵引力。有齿轮式的减速装置降低电动机输出转速。</w:t>
            </w:r>
          </w:p>
        </w:tc>
        <w:tc>
          <w:tcPr>
            <w:tcW w:type="dxa" w:w="4706"/>
          </w:tcPr>
          <w:p>
            <w:pPr>
              <w:spacing w:before="60" w:after="80" w:line="259" w:lineRule="auto"/>
            </w:pPr>
            <w:r>
              <w:rPr>
                <w:sz w:val="19"/>
              </w:rPr>
              <w:t>The sheave transmits driving force to the ropes through friction. In a geared lift, the reduction unit reduces motor speed before driving the sheave.</w:t>
            </w:r>
          </w:p>
        </w:tc>
      </w:tr>
      <w:tr>
        <w:trPr>
          <w:cantSplit/>
        </w:trPr>
        <w:tc>
          <w:tcPr>
            <w:tcW w:type="dxa" w:w="2098"/>
          </w:tcPr>
          <w:p>
            <w:pPr>
              <w:spacing w:before="60" w:after="80" w:line="259" w:lineRule="auto"/>
            </w:pPr>
            <w:r>
              <w:rPr>
                <w:b/>
                <w:sz w:val="19"/>
              </w:rPr>
              <w:t>4 悬吊钢丝绳</w:t>
              <w:br/>
              <w:t>Suspension / hoisting ropes</w:t>
            </w:r>
          </w:p>
        </w:tc>
        <w:tc>
          <w:tcPr>
            <w:tcW w:type="dxa" w:w="3288"/>
          </w:tcPr>
          <w:p>
            <w:pPr>
              <w:spacing w:before="60" w:after="80" w:line="259" w:lineRule="auto"/>
            </w:pPr>
            <w:r>
              <w:rPr>
                <w:sz w:val="19"/>
              </w:rPr>
              <w:t>悬吊轿厢和对重，并传递曳引轮的驱动力。</w:t>
            </w:r>
          </w:p>
        </w:tc>
        <w:tc>
          <w:tcPr>
            <w:tcW w:type="dxa" w:w="4706"/>
          </w:tcPr>
          <w:p>
            <w:pPr>
              <w:spacing w:before="60" w:after="80" w:line="259" w:lineRule="auto"/>
            </w:pPr>
            <w:r>
              <w:rPr>
                <w:sz w:val="19"/>
              </w:rPr>
              <w:t>The ropes suspend the car and counterweight and transmit the driving force from the traction sheave.</w:t>
            </w:r>
          </w:p>
        </w:tc>
      </w:tr>
      <w:tr>
        <w:trPr>
          <w:cantSplit/>
        </w:trPr>
        <w:tc>
          <w:tcPr>
            <w:tcW w:type="dxa" w:w="2098"/>
          </w:tcPr>
          <w:p>
            <w:pPr>
              <w:spacing w:before="60" w:after="80" w:line="259" w:lineRule="auto"/>
            </w:pPr>
            <w:r>
              <w:rPr>
                <w:b/>
                <w:sz w:val="19"/>
              </w:rPr>
              <w:t>5 对重</w:t>
              <w:br/>
              <w:t>Counterweight</w:t>
            </w:r>
          </w:p>
        </w:tc>
        <w:tc>
          <w:tcPr>
            <w:tcW w:type="dxa" w:w="3288"/>
          </w:tcPr>
          <w:p>
            <w:pPr>
              <w:spacing w:before="60" w:after="80" w:line="259" w:lineRule="auto"/>
            </w:pPr>
            <w:r>
              <w:rPr>
                <w:sz w:val="19"/>
              </w:rPr>
              <w:t>平衡轿厢及部分载荷重量，减少驱动功率，使电动机主要克服不平衡负载和摩擦。</w:t>
            </w:r>
          </w:p>
        </w:tc>
        <w:tc>
          <w:tcPr>
            <w:tcW w:type="dxa" w:w="4706"/>
          </w:tcPr>
          <w:p>
            <w:pPr>
              <w:spacing w:before="60" w:after="80" w:line="259" w:lineRule="auto"/>
            </w:pPr>
            <w:r>
              <w:rPr>
                <w:sz w:val="19"/>
              </w:rPr>
              <w:t>The counterweight balances the car and part of its load, reducing the power needed to overcome the unbalanced load and friction.</w:t>
            </w:r>
          </w:p>
        </w:tc>
      </w:tr>
      <w:tr>
        <w:trPr>
          <w:cantSplit/>
        </w:trPr>
        <w:tc>
          <w:tcPr>
            <w:tcW w:type="dxa" w:w="2098"/>
          </w:tcPr>
          <w:p>
            <w:pPr>
              <w:spacing w:before="60" w:after="80" w:line="259" w:lineRule="auto"/>
            </w:pPr>
            <w:r>
              <w:rPr>
                <w:b/>
                <w:sz w:val="19"/>
              </w:rPr>
              <w:t>6 导轨及导靴／滚轮</w:t>
              <w:br/>
              <w:t>Guide rails and shoes / rollers</w:t>
            </w:r>
          </w:p>
        </w:tc>
        <w:tc>
          <w:tcPr>
            <w:tcW w:type="dxa" w:w="3288"/>
          </w:tcPr>
          <w:p>
            <w:pPr>
              <w:spacing w:before="60" w:after="80" w:line="259" w:lineRule="auto"/>
            </w:pPr>
            <w:r>
              <w:rPr>
                <w:sz w:val="19"/>
              </w:rPr>
              <w:t>引导轿厢和对重沿规定垂直路径运行，并限制横向移动。</w:t>
            </w:r>
          </w:p>
        </w:tc>
        <w:tc>
          <w:tcPr>
            <w:tcW w:type="dxa" w:w="4706"/>
          </w:tcPr>
          <w:p>
            <w:pPr>
              <w:spacing w:before="60" w:after="80" w:line="259" w:lineRule="auto"/>
            </w:pPr>
            <w:r>
              <w:rPr>
                <w:sz w:val="19"/>
              </w:rPr>
              <w:t>They guide the car and counterweight along their vertical paths and restrain lateral movement.</w:t>
            </w:r>
          </w:p>
        </w:tc>
      </w:tr>
      <w:tr>
        <w:trPr>
          <w:cantSplit/>
        </w:trPr>
        <w:tc>
          <w:tcPr>
            <w:tcW w:type="dxa" w:w="2098"/>
          </w:tcPr>
          <w:p>
            <w:pPr>
              <w:spacing w:before="60" w:after="80" w:line="259" w:lineRule="auto"/>
            </w:pPr>
            <w:r>
              <w:rPr>
                <w:b/>
                <w:sz w:val="19"/>
              </w:rPr>
              <w:t>7 制动器</w:t>
              <w:br/>
              <w:t>Brake</w:t>
            </w:r>
          </w:p>
        </w:tc>
        <w:tc>
          <w:tcPr>
            <w:tcW w:type="dxa" w:w="3288"/>
          </w:tcPr>
          <w:p>
            <w:pPr>
              <w:spacing w:before="60" w:after="80" w:line="259" w:lineRule="auto"/>
            </w:pPr>
            <w:r>
              <w:rPr>
                <w:sz w:val="19"/>
              </w:rPr>
              <w:t>使驱动系统停止并保持静止。制动器采用弹簧施闸、电力释放；有齿轮式通常装在电动机与减速装置之间。</w:t>
            </w:r>
          </w:p>
        </w:tc>
        <w:tc>
          <w:tcPr>
            <w:tcW w:type="dxa" w:w="4706"/>
          </w:tcPr>
          <w:p>
            <w:pPr>
              <w:spacing w:before="60" w:after="80" w:line="259" w:lineRule="auto"/>
            </w:pPr>
            <w:r>
              <w:rPr>
                <w:sz w:val="19"/>
              </w:rPr>
              <w:t>The brake stops and holds the drive system. It is spring-applied and electrically released. In a geared lift, it normally sits between the motor and reduction unit.</w:t>
            </w:r>
          </w:p>
        </w:tc>
      </w:tr>
    </w:tbl>
    <w:p>
      <w:r>
        <w:br w:type="page"/>
      </w:r>
    </w:p>
    <w:p>
      <w:pPr>
        <w:pStyle w:val="Heading1"/>
      </w:pPr>
      <w:r>
        <w:t>1.1 主要部件及功能 / Major components (2/2)</w:t>
      </w:r>
    </w:p>
    <w:tbl>
      <w:tblPr>
        <w:tblStyle w:val="TableGrid"/>
        <w:tblW w:type="auto" w:w="0"/>
        <w:tblLayout w:type="fixed"/>
        <w:tblLook w:firstColumn="1" w:firstRow="1" w:lastColumn="0" w:lastRow="0" w:noHBand="0" w:noVBand="1" w:val="04A0"/>
      </w:tblPr>
      <w:tblGrid>
        <w:gridCol w:w="2098"/>
        <w:gridCol w:w="3288"/>
        <w:gridCol w:w="4706"/>
      </w:tblGrid>
      <w:tr>
        <w:trPr>
          <w:tblHeader/>
        </w:trPr>
        <w:tc>
          <w:tcPr>
            <w:tcW w:type="dxa" w:w="2098"/>
            <w:shd w:fill="17364D"/>
          </w:tcPr>
          <w:p>
            <w:r>
              <w:rPr>
                <w:b/>
                <w:color w:val="FFFFFF"/>
              </w:rPr>
              <w:t>部件 / Component</w:t>
            </w:r>
          </w:p>
        </w:tc>
        <w:tc>
          <w:tcPr>
            <w:tcW w:type="dxa" w:w="3288"/>
            <w:shd w:fill="17364D"/>
          </w:tcPr>
          <w:p>
            <w:r>
              <w:rPr>
                <w:b/>
                <w:color w:val="FFFFFF"/>
              </w:rPr>
              <w:t>功能</w:t>
            </w:r>
          </w:p>
        </w:tc>
        <w:tc>
          <w:tcPr>
            <w:tcW w:type="dxa" w:w="4706"/>
            <w:shd w:fill="17364D"/>
          </w:tcPr>
          <w:p>
            <w:r>
              <w:rPr>
                <w:b/>
                <w:color w:val="FFFFFF"/>
              </w:rPr>
              <w:t>Operational function</w:t>
            </w:r>
          </w:p>
        </w:tc>
      </w:tr>
      <w:tr>
        <w:trPr>
          <w:cantSplit/>
        </w:trPr>
        <w:tc>
          <w:tcPr>
            <w:tcW w:type="dxa" w:w="2098"/>
          </w:tcPr>
          <w:p>
            <w:pPr>
              <w:spacing w:before="60" w:after="80" w:line="259" w:lineRule="auto"/>
            </w:pPr>
            <w:r>
              <w:rPr>
                <w:b/>
                <w:sz w:val="19"/>
              </w:rPr>
              <w:t>8 控制器及传感器</w:t>
              <w:br/>
              <w:t>Controller and transducers</w:t>
            </w:r>
          </w:p>
        </w:tc>
        <w:tc>
          <w:tcPr>
            <w:tcW w:type="dxa" w:w="3288"/>
          </w:tcPr>
          <w:p>
            <w:pPr>
              <w:spacing w:before="60" w:after="80" w:line="259" w:lineRule="auto"/>
            </w:pPr>
            <w:r>
              <w:rPr>
                <w:sz w:val="19"/>
              </w:rPr>
              <w:t>协调运行方向、速度、停车和门的操作；位置及速度传感器提供反馈。</w:t>
            </w:r>
          </w:p>
        </w:tc>
        <w:tc>
          <w:tcPr>
            <w:tcW w:type="dxa" w:w="4706"/>
          </w:tcPr>
          <w:p>
            <w:pPr>
              <w:spacing w:before="60" w:after="80" w:line="259" w:lineRule="auto"/>
            </w:pPr>
            <w:r>
              <w:rPr>
                <w:sz w:val="19"/>
              </w:rPr>
              <w:t>The controller coordinates direction, speed, stopping and door operation. Position and speed transducers provide feedback.</w:t>
            </w:r>
          </w:p>
        </w:tc>
      </w:tr>
      <w:tr>
        <w:trPr>
          <w:cantSplit/>
        </w:trPr>
        <w:tc>
          <w:tcPr>
            <w:tcW w:type="dxa" w:w="2098"/>
          </w:tcPr>
          <w:p>
            <w:pPr>
              <w:spacing w:before="60" w:after="80" w:line="259" w:lineRule="auto"/>
            </w:pPr>
            <w:r>
              <w:rPr>
                <w:b/>
                <w:sz w:val="19"/>
              </w:rPr>
              <w:t>9 门及门安全装置</w:t>
              <w:br/>
              <w:t>Doors and door safety devices</w:t>
            </w:r>
          </w:p>
        </w:tc>
        <w:tc>
          <w:tcPr>
            <w:tcW w:type="dxa" w:w="3288"/>
          </w:tcPr>
          <w:p>
            <w:pPr>
              <w:spacing w:before="60" w:after="80" w:line="259" w:lineRule="auto"/>
            </w:pPr>
            <w:r>
              <w:rPr>
                <w:sz w:val="19"/>
              </w:rPr>
              <w:t>门机负责开关门。层门联锁确保门未正确关闭并锁紧时不能运行；关门期间若有人进入，接近传感器使门重开。</w:t>
            </w:r>
          </w:p>
        </w:tc>
        <w:tc>
          <w:tcPr>
            <w:tcW w:type="dxa" w:w="4706"/>
          </w:tcPr>
          <w:p>
            <w:pPr>
              <w:spacing w:before="60" w:after="80" w:line="259" w:lineRule="auto"/>
            </w:pPr>
            <w:r>
              <w:rPr>
                <w:sz w:val="19"/>
              </w:rPr>
              <w:t>The operator opens and closes the doors. Interlocks prevent travel unless landing doors are closed and locked. A proximity sensor reopens closing doors when someone enters.</w:t>
            </w:r>
          </w:p>
        </w:tc>
      </w:tr>
      <w:tr>
        <w:trPr>
          <w:cantSplit/>
        </w:trPr>
        <w:tc>
          <w:tcPr>
            <w:tcW w:type="dxa" w:w="2098"/>
          </w:tcPr>
          <w:p>
            <w:pPr>
              <w:spacing w:before="60" w:after="80" w:line="259" w:lineRule="auto"/>
            </w:pPr>
            <w:r>
              <w:rPr>
                <w:b/>
                <w:sz w:val="19"/>
              </w:rPr>
              <w:t>10 限速器、绳及张紧轮</w:t>
              <w:br/>
              <w:t>Governor, rope and tension sheave</w:t>
            </w:r>
          </w:p>
        </w:tc>
        <w:tc>
          <w:tcPr>
            <w:tcW w:type="dxa" w:w="3288"/>
          </w:tcPr>
          <w:p>
            <w:pPr>
              <w:spacing w:before="60" w:after="80" w:line="259" w:lineRule="auto"/>
            </w:pPr>
            <w:r>
              <w:rPr>
                <w:sz w:val="19"/>
              </w:rPr>
              <w:t>限速器在达到预定超速值时触发停止，并在需要时使安全钳或辅助制动器动作。绳及张紧轮构成相关机械布置。</w:t>
            </w:r>
          </w:p>
        </w:tc>
        <w:tc>
          <w:tcPr>
            <w:tcW w:type="dxa" w:w="4706"/>
          </w:tcPr>
          <w:p>
            <w:pPr>
              <w:spacing w:before="60" w:after="80" w:line="259" w:lineRule="auto"/>
            </w:pPr>
            <w:r>
              <w:rPr>
                <w:sz w:val="19"/>
              </w:rPr>
              <w:t>At a predetermined overspeed, the governor initiates stopping and applies the safety gear or auxiliary brake when necessary. Its rope and tension sheave form the associated arrangement.</w:t>
            </w:r>
          </w:p>
        </w:tc>
      </w:tr>
      <w:tr>
        <w:trPr>
          <w:cantSplit/>
        </w:trPr>
        <w:tc>
          <w:tcPr>
            <w:tcW w:type="dxa" w:w="2098"/>
          </w:tcPr>
          <w:p>
            <w:pPr>
              <w:spacing w:before="60" w:after="80" w:line="259" w:lineRule="auto"/>
            </w:pPr>
            <w:r>
              <w:rPr>
                <w:b/>
                <w:sz w:val="19"/>
              </w:rPr>
              <w:t>11 安全钳</w:t>
              <w:br/>
              <w:t>Safety gear</w:t>
            </w:r>
          </w:p>
        </w:tc>
        <w:tc>
          <w:tcPr>
            <w:tcW w:type="dxa" w:w="3288"/>
          </w:tcPr>
          <w:p>
            <w:pPr>
              <w:spacing w:before="60" w:after="80" w:line="259" w:lineRule="auto"/>
            </w:pPr>
            <w:r>
              <w:rPr>
                <w:sz w:val="19"/>
              </w:rPr>
              <w:t>在向下超速或悬吊失效等情况下，作用于导轨，使轿厢停止并保持静止。</w:t>
            </w:r>
          </w:p>
        </w:tc>
        <w:tc>
          <w:tcPr>
            <w:tcW w:type="dxa" w:w="4706"/>
          </w:tcPr>
          <w:p>
            <w:pPr>
              <w:spacing w:before="60" w:after="80" w:line="259" w:lineRule="auto"/>
            </w:pPr>
            <w:r>
              <w:rPr>
                <w:sz w:val="19"/>
              </w:rPr>
              <w:t>The safety gear acts on the guide rails to stop and hold the car during downward overspeed or suspension failure.</w:t>
            </w:r>
          </w:p>
        </w:tc>
      </w:tr>
      <w:tr>
        <w:trPr>
          <w:cantSplit/>
        </w:trPr>
        <w:tc>
          <w:tcPr>
            <w:tcW w:type="dxa" w:w="2098"/>
          </w:tcPr>
          <w:p>
            <w:pPr>
              <w:spacing w:before="60" w:after="80" w:line="259" w:lineRule="auto"/>
            </w:pPr>
            <w:r>
              <w:rPr>
                <w:b/>
                <w:sz w:val="19"/>
              </w:rPr>
              <w:t>12 平层及限位装置</w:t>
              <w:br/>
              <w:t>Levelling and limit devices</w:t>
            </w:r>
          </w:p>
        </w:tc>
        <w:tc>
          <w:tcPr>
            <w:tcW w:type="dxa" w:w="3288"/>
          </w:tcPr>
          <w:p>
            <w:pPr>
              <w:spacing w:before="60" w:after="80" w:line="259" w:lineRule="auto"/>
            </w:pPr>
            <w:r>
              <w:rPr>
                <w:sz w:val="19"/>
              </w:rPr>
              <w:t>平层装置提高停靠楼层的准确度；限位或终端停止开关防止轿厢越过允许行程。</w:t>
            </w:r>
          </w:p>
        </w:tc>
        <w:tc>
          <w:tcPr>
            <w:tcW w:type="dxa" w:w="4706"/>
          </w:tcPr>
          <w:p>
            <w:pPr>
              <w:spacing w:before="60" w:after="80" w:line="259" w:lineRule="auto"/>
            </w:pPr>
            <w:r>
              <w:rPr>
                <w:sz w:val="19"/>
              </w:rPr>
              <w:t>Levelling improves stopping accuracy at landings. Limit or terminal stopping switches prevent travel beyond the permitted limits.</w:t>
            </w:r>
          </w:p>
        </w:tc>
      </w:tr>
      <w:tr>
        <w:trPr>
          <w:cantSplit/>
        </w:trPr>
        <w:tc>
          <w:tcPr>
            <w:tcW w:type="dxa" w:w="2098"/>
          </w:tcPr>
          <w:p>
            <w:pPr>
              <w:spacing w:before="60" w:after="80" w:line="259" w:lineRule="auto"/>
            </w:pPr>
            <w:r>
              <w:rPr>
                <w:b/>
                <w:sz w:val="19"/>
              </w:rPr>
              <w:t>13 缓冲器</w:t>
              <w:br/>
              <w:t>Car and counterweight buffers</w:t>
            </w:r>
          </w:p>
        </w:tc>
        <w:tc>
          <w:tcPr>
            <w:tcW w:type="dxa" w:w="3288"/>
          </w:tcPr>
          <w:p>
            <w:pPr>
              <w:spacing w:before="60" w:after="80" w:line="259" w:lineRule="auto"/>
            </w:pPr>
            <w:r>
              <w:rPr>
                <w:sz w:val="19"/>
              </w:rPr>
              <w:t>在行程底部发生越程冲击时吸收能量。油压缓冲器通过流体阻尼产生制动作用。</w:t>
            </w:r>
          </w:p>
        </w:tc>
        <w:tc>
          <w:tcPr>
            <w:tcW w:type="dxa" w:w="4706"/>
          </w:tcPr>
          <w:p>
            <w:pPr>
              <w:spacing w:before="60" w:after="80" w:line="259" w:lineRule="auto"/>
            </w:pPr>
            <w:r>
              <w:rPr>
                <w:sz w:val="19"/>
              </w:rPr>
              <w:t>Buffers absorb impact energy at the lower end of travel. Oil buffers provide braking through fluid resistance.</w:t>
            </w:r>
          </w:p>
        </w:tc>
      </w:tr>
    </w:tbl>
    <w:p>
      <w:pPr>
        <w:pStyle w:val="Heading2"/>
      </w:pPr>
      <w:r>
        <w:t>辅助部件 / Auxiliary components</w:t>
      </w:r>
    </w:p>
    <w:p>
      <w:r>
        <w:t>随行电缆连接固定设备与移动轿厢，传送电源和控制信号。补偿绳及补偿轮用于补偿轿厢位置改变时的悬吊绳重量不平衡。</w:t>
      </w:r>
    </w:p>
    <w:p>
      <w:r>
        <w:t>Travelling cables carry power and control signals between fixed equipment and the moving car. Compensation ropes and sheaves compensate for changes in suspension-rope weight balance as the car changes position.</w:t>
      </w:r>
    </w:p>
    <w:p>
      <w:pPr>
        <w:pStyle w:val="Heading2"/>
      </w:pPr>
      <w:r>
        <w:t>1.2 运作过程 / Operation</w:t>
      </w:r>
    </w:p>
    <w:p>
      <w:r>
        <w:t>门关闭且联锁条件满足后，控制器释放制动器并启动驱动系统，带动轿厢和对重反向移动。接近目标楼层时减速和平层，停车后由制动器保持静止，再开门。限速器与安全钳提供异常超速时的保护。</w:t>
      </w:r>
    </w:p>
    <w:p>
      <w:r>
        <w:t>Once the doors are closed and interlock conditions are satisfied, the controller releases the brake and operates the drive, moving the car and counterweight in opposite directions. The car slows and levels at the destination, the brake holds it stationary, and the doors open. The governor and safety gear provide protection during abnormal overspeed.</w:t>
      </w:r>
    </w:p>
    <w:p>
      <w:r>
        <w:br w:type="page"/>
      </w:r>
    </w:p>
    <w:p>
      <w:pPr>
        <w:pStyle w:val="Heading1"/>
      </w:pPr>
      <w:r>
        <w:t>2 直顶式液压升降机 / Direct-ram hydraulic lift</w:t>
      </w:r>
    </w:p>
    <w:p>
      <w:r>
        <w:t>直顶式液压升降机利用油泵把液压油送入油缸，油压推动柱塞伸出，直接顶升轿厢。典型埋地式结构的油缸向地下延伸，以容纳所需的柱塞行程。</w:t>
      </w:r>
    </w:p>
    <w:p>
      <w:r>
        <w:t>A direct-ram hydraulic lift pumps oil into a cylinder. Oil pressure extends the plunger, which directly raises the car. In a conventional in-ground arrangement, the cylinder extends below ground to accommodate the required plunger travel.</w:t>
      </w:r>
    </w:p>
    <w:p>
      <w:pPr>
        <w:spacing w:after="60"/>
        <w:jc w:val="center"/>
      </w:pPr>
      <w:r>
        <w:drawing>
          <wp:inline xmlns:a="http://schemas.openxmlformats.org/drawingml/2006/main" xmlns:pic="http://schemas.openxmlformats.org/drawingml/2006/picture">
            <wp:extent cx="3561342" cy="5940000"/>
            <wp:docPr id="2" name="Picture 2"/>
            <wp:cNvGraphicFramePr>
              <a:graphicFrameLocks noChangeAspect="1"/>
            </wp:cNvGraphicFramePr>
            <a:graphic>
              <a:graphicData uri="http://schemas.openxmlformats.org/drawingml/2006/picture">
                <pic:pic>
                  <pic:nvPicPr>
                    <pic:cNvPr id="0" name="hydraulic_ppt.png"/>
                    <pic:cNvPicPr/>
                  </pic:nvPicPr>
                  <pic:blipFill>
                    <a:blip r:embed="rId12"/>
                    <a:stretch>
                      <a:fillRect/>
                    </a:stretch>
                  </pic:blipFill>
                  <pic:spPr>
                    <a:xfrm>
                      <a:off x="0" y="0"/>
                      <a:ext cx="3561342" cy="5940000"/>
                    </a:xfrm>
                    <a:prstGeom prst="rect"/>
                  </pic:spPr>
                </pic:pic>
              </a:graphicData>
            </a:graphic>
          </wp:inline>
        </w:drawing>
      </w:r>
    </w:p>
    <w:p>
      <w:pPr>
        <w:pStyle w:val="Caption"/>
        <w:jc w:val="center"/>
      </w:pPr>
      <w:r>
        <w:t>图 2 直顶式液压升降机 / Figure 2 Direct-ram hydraulic lift</w:t>
      </w:r>
    </w:p>
    <w:p>
      <w:r>
        <w:br w:type="page"/>
      </w:r>
    </w:p>
    <w:p>
      <w:pPr>
        <w:pStyle w:val="Heading1"/>
      </w:pPr>
      <w:r>
        <w:t>2.1 主要部件及功能 / Major components (1/2)</w:t>
      </w:r>
    </w:p>
    <w:tbl>
      <w:tblPr>
        <w:tblStyle w:val="TableGrid"/>
        <w:tblW w:type="auto" w:w="0"/>
        <w:tblLayout w:type="fixed"/>
        <w:tblLook w:firstColumn="1" w:firstRow="1" w:lastColumn="0" w:lastRow="0" w:noHBand="0" w:noVBand="1" w:val="04A0"/>
      </w:tblPr>
      <w:tblGrid>
        <w:gridCol w:w="2098"/>
        <w:gridCol w:w="3288"/>
        <w:gridCol w:w="4706"/>
      </w:tblGrid>
      <w:tr>
        <w:trPr>
          <w:tblHeader/>
        </w:trPr>
        <w:tc>
          <w:tcPr>
            <w:tcW w:type="dxa" w:w="2098"/>
            <w:shd w:fill="17364D"/>
          </w:tcPr>
          <w:p>
            <w:r>
              <w:rPr>
                <w:b/>
                <w:color w:val="FFFFFF"/>
              </w:rPr>
              <w:t>部件 / Component</w:t>
            </w:r>
          </w:p>
        </w:tc>
        <w:tc>
          <w:tcPr>
            <w:tcW w:type="dxa" w:w="3288"/>
            <w:shd w:fill="17364D"/>
          </w:tcPr>
          <w:p>
            <w:r>
              <w:rPr>
                <w:b/>
                <w:color w:val="FFFFFF"/>
              </w:rPr>
              <w:t>功能</w:t>
            </w:r>
          </w:p>
        </w:tc>
        <w:tc>
          <w:tcPr>
            <w:tcW w:type="dxa" w:w="4706"/>
            <w:shd w:fill="17364D"/>
          </w:tcPr>
          <w:p>
            <w:r>
              <w:rPr>
                <w:b/>
                <w:color w:val="FFFFFF"/>
              </w:rPr>
              <w:t>Operational function</w:t>
            </w:r>
          </w:p>
        </w:tc>
      </w:tr>
      <w:tr>
        <w:trPr>
          <w:cantSplit/>
        </w:trPr>
        <w:tc>
          <w:tcPr>
            <w:tcW w:type="dxa" w:w="2098"/>
          </w:tcPr>
          <w:p>
            <w:pPr>
              <w:spacing w:before="60" w:after="80" w:line="259" w:lineRule="auto"/>
            </w:pPr>
            <w:r>
              <w:rPr>
                <w:b/>
                <w:sz w:val="19"/>
              </w:rPr>
              <w:t>1 轿厢及承托结构</w:t>
              <w:br/>
              <w:t>Car and support</w:t>
            </w:r>
          </w:p>
        </w:tc>
        <w:tc>
          <w:tcPr>
            <w:tcW w:type="dxa" w:w="3288"/>
          </w:tcPr>
          <w:p>
            <w:pPr>
              <w:spacing w:before="60" w:after="80" w:line="259" w:lineRule="auto"/>
            </w:pPr>
            <w:r>
              <w:rPr>
                <w:sz w:val="19"/>
              </w:rPr>
              <w:t>承载乘客或货物，底部由柱塞直接承托。</w:t>
            </w:r>
          </w:p>
        </w:tc>
        <w:tc>
          <w:tcPr>
            <w:tcW w:type="dxa" w:w="4706"/>
          </w:tcPr>
          <w:p>
            <w:pPr>
              <w:spacing w:before="60" w:after="80" w:line="259" w:lineRule="auto"/>
            </w:pPr>
            <w:r>
              <w:rPr>
                <w:sz w:val="19"/>
              </w:rPr>
              <w:t>The car carries passengers or goods and is supported directly by the plunger beneath it.</w:t>
            </w:r>
          </w:p>
        </w:tc>
      </w:tr>
      <w:tr>
        <w:trPr>
          <w:cantSplit/>
        </w:trPr>
        <w:tc>
          <w:tcPr>
            <w:tcW w:type="dxa" w:w="2098"/>
          </w:tcPr>
          <w:p>
            <w:pPr>
              <w:spacing w:before="60" w:after="80" w:line="259" w:lineRule="auto"/>
            </w:pPr>
            <w:r>
              <w:rPr>
                <w:b/>
                <w:sz w:val="19"/>
              </w:rPr>
              <w:t>2 柱塞／顶杆</w:t>
              <w:br/>
              <w:t>Plunger / ram</w:t>
            </w:r>
          </w:p>
        </w:tc>
        <w:tc>
          <w:tcPr>
            <w:tcW w:type="dxa" w:w="3288"/>
          </w:tcPr>
          <w:p>
            <w:pPr>
              <w:spacing w:before="60" w:after="80" w:line="259" w:lineRule="auto"/>
            </w:pPr>
            <w:r>
              <w:rPr>
                <w:sz w:val="19"/>
              </w:rPr>
              <w:t>把液压作用转化为垂直机械运动；伸出时顶升轿厢，缩回时轿厢下降。</w:t>
            </w:r>
          </w:p>
        </w:tc>
        <w:tc>
          <w:tcPr>
            <w:tcW w:type="dxa" w:w="4706"/>
          </w:tcPr>
          <w:p>
            <w:pPr>
              <w:spacing w:before="60" w:after="80" w:line="259" w:lineRule="auto"/>
            </w:pPr>
            <w:r>
              <w:rPr>
                <w:sz w:val="19"/>
              </w:rPr>
              <w:t>The plunger converts hydraulic action into vertical movement. Its extension raises the car, and its retraction allows descent.</w:t>
            </w:r>
          </w:p>
        </w:tc>
      </w:tr>
      <w:tr>
        <w:trPr>
          <w:cantSplit/>
        </w:trPr>
        <w:tc>
          <w:tcPr>
            <w:tcW w:type="dxa" w:w="2098"/>
          </w:tcPr>
          <w:p>
            <w:pPr>
              <w:spacing w:before="60" w:after="80" w:line="259" w:lineRule="auto"/>
            </w:pPr>
            <w:r>
              <w:rPr>
                <w:b/>
                <w:sz w:val="19"/>
              </w:rPr>
              <w:t>3 油缸</w:t>
              <w:br/>
              <w:t>Hydraulic cylinder</w:t>
            </w:r>
          </w:p>
        </w:tc>
        <w:tc>
          <w:tcPr>
            <w:tcW w:type="dxa" w:w="3288"/>
          </w:tcPr>
          <w:p>
            <w:pPr>
              <w:spacing w:before="60" w:after="80" w:line="259" w:lineRule="auto"/>
            </w:pPr>
            <w:r>
              <w:rPr>
                <w:sz w:val="19"/>
              </w:rPr>
              <w:t>容纳受压液压油，与柱塞构成顶升机构。典型埋地式油缸向地下延伸，以容纳所需行程。</w:t>
            </w:r>
          </w:p>
        </w:tc>
        <w:tc>
          <w:tcPr>
            <w:tcW w:type="dxa" w:w="4706"/>
          </w:tcPr>
          <w:p>
            <w:pPr>
              <w:spacing w:before="60" w:after="80" w:line="259" w:lineRule="auto"/>
            </w:pPr>
            <w:r>
              <w:rPr>
                <w:sz w:val="19"/>
              </w:rPr>
              <w:t>The cylinder contains pressurised oil and forms the actuator with the plunger. In the in-ground arrangement, it extends below ground to accommodate travel.</w:t>
            </w:r>
          </w:p>
        </w:tc>
      </w:tr>
      <w:tr>
        <w:trPr>
          <w:cantSplit/>
        </w:trPr>
        <w:tc>
          <w:tcPr>
            <w:tcW w:type="dxa" w:w="2098"/>
          </w:tcPr>
          <w:p>
            <w:pPr>
              <w:spacing w:before="60" w:after="80" w:line="259" w:lineRule="auto"/>
            </w:pPr>
            <w:r>
              <w:rPr>
                <w:b/>
                <w:sz w:val="19"/>
              </w:rPr>
              <w:t>4 液压油</w:t>
              <w:br/>
              <w:t>Hydraulic oil</w:t>
            </w:r>
          </w:p>
        </w:tc>
        <w:tc>
          <w:tcPr>
            <w:tcW w:type="dxa" w:w="3288"/>
          </w:tcPr>
          <w:p>
            <w:pPr>
              <w:spacing w:before="60" w:after="80" w:line="259" w:lineRule="auto"/>
            </w:pPr>
            <w:r>
              <w:rPr>
                <w:sz w:val="19"/>
              </w:rPr>
              <w:t>作为工作介质，把油泵提供的压力传递至柱塞。</w:t>
            </w:r>
          </w:p>
        </w:tc>
        <w:tc>
          <w:tcPr>
            <w:tcW w:type="dxa" w:w="4706"/>
          </w:tcPr>
          <w:p>
            <w:pPr>
              <w:spacing w:before="60" w:after="80" w:line="259" w:lineRule="auto"/>
            </w:pPr>
            <w:r>
              <w:rPr>
                <w:sz w:val="19"/>
              </w:rPr>
              <w:t>Hydraulic oil is the working fluid that transmits pump pressure to the plunger.</w:t>
            </w:r>
          </w:p>
        </w:tc>
      </w:tr>
      <w:tr>
        <w:trPr>
          <w:cantSplit/>
        </w:trPr>
        <w:tc>
          <w:tcPr>
            <w:tcW w:type="dxa" w:w="2098"/>
          </w:tcPr>
          <w:p>
            <w:pPr>
              <w:spacing w:before="60" w:after="80" w:line="259" w:lineRule="auto"/>
            </w:pPr>
            <w:r>
              <w:rPr>
                <w:b/>
                <w:sz w:val="19"/>
              </w:rPr>
              <w:t>5 油箱及油位计</w:t>
              <w:br/>
              <w:t>Tank and level gauge</w:t>
            </w:r>
          </w:p>
        </w:tc>
        <w:tc>
          <w:tcPr>
            <w:tcW w:type="dxa" w:w="3288"/>
          </w:tcPr>
          <w:p>
            <w:pPr>
              <w:spacing w:before="60" w:after="80" w:line="259" w:lineRule="auto"/>
            </w:pPr>
            <w:r>
              <w:rPr>
                <w:sz w:val="19"/>
              </w:rPr>
              <w:t>油箱储油，向油泵供油并接收回油；油位计用于检查油量。</w:t>
            </w:r>
          </w:p>
        </w:tc>
        <w:tc>
          <w:tcPr>
            <w:tcW w:type="dxa" w:w="4706"/>
          </w:tcPr>
          <w:p>
            <w:pPr>
              <w:spacing w:before="60" w:after="80" w:line="259" w:lineRule="auto"/>
            </w:pPr>
            <w:r>
              <w:rPr>
                <w:sz w:val="19"/>
              </w:rPr>
              <w:t>The tank stores oil, supplies the pump and receives returning oil. The gauge indicates the oil level.</w:t>
            </w:r>
          </w:p>
        </w:tc>
      </w:tr>
      <w:tr>
        <w:trPr>
          <w:cantSplit/>
        </w:trPr>
        <w:tc>
          <w:tcPr>
            <w:tcW w:type="dxa" w:w="2098"/>
          </w:tcPr>
          <w:p>
            <w:pPr>
              <w:spacing w:before="60" w:after="80" w:line="259" w:lineRule="auto"/>
            </w:pPr>
            <w:r>
              <w:rPr>
                <w:b/>
                <w:sz w:val="19"/>
              </w:rPr>
              <w:t>6 电动机及油泵</w:t>
              <w:br/>
              <w:t>Motor and pump</w:t>
            </w:r>
          </w:p>
        </w:tc>
        <w:tc>
          <w:tcPr>
            <w:tcW w:type="dxa" w:w="3288"/>
          </w:tcPr>
          <w:p>
            <w:pPr>
              <w:spacing w:before="60" w:after="80" w:line="259" w:lineRule="auto"/>
            </w:pPr>
            <w:r>
              <w:rPr>
                <w:sz w:val="19"/>
              </w:rPr>
              <w:t>电动机驱动油泵，向系统输送液压油，提供顶升所需的压力及流量。</w:t>
            </w:r>
          </w:p>
        </w:tc>
        <w:tc>
          <w:tcPr>
            <w:tcW w:type="dxa" w:w="4706"/>
          </w:tcPr>
          <w:p>
            <w:pPr>
              <w:spacing w:before="60" w:after="80" w:line="259" w:lineRule="auto"/>
            </w:pPr>
            <w:r>
              <w:rPr>
                <w:sz w:val="19"/>
              </w:rPr>
              <w:t>The motor drives the pump, which supplies the oil pressure and flow needed to raise the car.</w:t>
            </w:r>
          </w:p>
        </w:tc>
      </w:tr>
    </w:tbl>
    <w:p>
      <w:r>
        <w:br w:type="page"/>
      </w:r>
    </w:p>
    <w:p>
      <w:pPr>
        <w:pStyle w:val="Heading1"/>
      </w:pPr>
      <w:r>
        <w:t>2.1 主要部件及功能 / Major components (2/2)</w:t>
      </w:r>
    </w:p>
    <w:tbl>
      <w:tblPr>
        <w:tblStyle w:val="TableGrid"/>
        <w:tblW w:type="auto" w:w="0"/>
        <w:tblLayout w:type="fixed"/>
        <w:tblLook w:firstColumn="1" w:firstRow="1" w:lastColumn="0" w:lastRow="0" w:noHBand="0" w:noVBand="1" w:val="04A0"/>
      </w:tblPr>
      <w:tblGrid>
        <w:gridCol w:w="2098"/>
        <w:gridCol w:w="3288"/>
        <w:gridCol w:w="4706"/>
      </w:tblGrid>
      <w:tr>
        <w:trPr>
          <w:tblHeader/>
        </w:trPr>
        <w:tc>
          <w:tcPr>
            <w:tcW w:type="dxa" w:w="2098"/>
            <w:shd w:fill="17364D"/>
          </w:tcPr>
          <w:p>
            <w:r>
              <w:rPr>
                <w:b/>
                <w:color w:val="FFFFFF"/>
              </w:rPr>
              <w:t>部件 / Component</w:t>
            </w:r>
          </w:p>
        </w:tc>
        <w:tc>
          <w:tcPr>
            <w:tcW w:type="dxa" w:w="3288"/>
            <w:shd w:fill="17364D"/>
          </w:tcPr>
          <w:p>
            <w:r>
              <w:rPr>
                <w:b/>
                <w:color w:val="FFFFFF"/>
              </w:rPr>
              <w:t>功能</w:t>
            </w:r>
          </w:p>
        </w:tc>
        <w:tc>
          <w:tcPr>
            <w:tcW w:type="dxa" w:w="4706"/>
            <w:shd w:fill="17364D"/>
          </w:tcPr>
          <w:p>
            <w:r>
              <w:rPr>
                <w:b/>
                <w:color w:val="FFFFFF"/>
              </w:rPr>
              <w:t>Operational function</w:t>
            </w:r>
          </w:p>
        </w:tc>
      </w:tr>
      <w:tr>
        <w:trPr>
          <w:cantSplit/>
        </w:trPr>
        <w:tc>
          <w:tcPr>
            <w:tcW w:type="dxa" w:w="2098"/>
          </w:tcPr>
          <w:p>
            <w:pPr>
              <w:spacing w:before="60" w:after="80" w:line="259" w:lineRule="auto"/>
            </w:pPr>
            <w:r>
              <w:rPr>
                <w:b/>
                <w:sz w:val="19"/>
              </w:rPr>
              <w:t>7 控制阀组及油管</w:t>
              <w:br/>
              <w:t>Valve block and pipework</w:t>
            </w:r>
          </w:p>
        </w:tc>
        <w:tc>
          <w:tcPr>
            <w:tcW w:type="dxa" w:w="3288"/>
          </w:tcPr>
          <w:p>
            <w:pPr>
              <w:spacing w:before="60" w:after="80" w:line="259" w:lineRule="auto"/>
            </w:pPr>
            <w:r>
              <w:rPr>
                <w:sz w:val="19"/>
              </w:rPr>
              <w:t>油管连接动力装置和油缸；阀组控制进油、保压及回油，从而控制上升、停止和下降。</w:t>
            </w:r>
          </w:p>
        </w:tc>
        <w:tc>
          <w:tcPr>
            <w:tcW w:type="dxa" w:w="4706"/>
          </w:tcPr>
          <w:p>
            <w:pPr>
              <w:spacing w:before="60" w:after="80" w:line="259" w:lineRule="auto"/>
            </w:pPr>
            <w:r>
              <w:rPr>
                <w:sz w:val="19"/>
              </w:rPr>
              <w:t>Pipework connects the power unit to the cylinder. The valves control oil admission, holding and return for ascent, stopping and descent.</w:t>
            </w:r>
          </w:p>
        </w:tc>
      </w:tr>
      <w:tr>
        <w:trPr>
          <w:cantSplit/>
        </w:trPr>
        <w:tc>
          <w:tcPr>
            <w:tcW w:type="dxa" w:w="2098"/>
          </w:tcPr>
          <w:p>
            <w:pPr>
              <w:spacing w:before="60" w:after="80" w:line="259" w:lineRule="auto"/>
            </w:pPr>
            <w:r>
              <w:rPr>
                <w:b/>
                <w:sz w:val="19"/>
              </w:rPr>
              <w:t>8 控制器</w:t>
              <w:br/>
              <w:t>Controller</w:t>
            </w:r>
          </w:p>
        </w:tc>
        <w:tc>
          <w:tcPr>
            <w:tcW w:type="dxa" w:w="3288"/>
          </w:tcPr>
          <w:p>
            <w:pPr>
              <w:spacing w:before="60" w:after="80" w:line="259" w:lineRule="auto"/>
            </w:pPr>
            <w:r>
              <w:rPr>
                <w:sz w:val="19"/>
              </w:rPr>
              <w:t>接收运行指令，协调油泵、阀组、停车及门的操作。</w:t>
            </w:r>
          </w:p>
        </w:tc>
        <w:tc>
          <w:tcPr>
            <w:tcW w:type="dxa" w:w="4706"/>
          </w:tcPr>
          <w:p>
            <w:pPr>
              <w:spacing w:before="60" w:after="80" w:line="259" w:lineRule="auto"/>
            </w:pPr>
            <w:r>
              <w:rPr>
                <w:sz w:val="19"/>
              </w:rPr>
              <w:t>The controller receives travel commands and coordinates pump, valve, stopping and door operations.</w:t>
            </w:r>
          </w:p>
        </w:tc>
      </w:tr>
      <w:tr>
        <w:trPr>
          <w:cantSplit/>
        </w:trPr>
        <w:tc>
          <w:tcPr>
            <w:tcW w:type="dxa" w:w="2098"/>
          </w:tcPr>
          <w:p>
            <w:pPr>
              <w:spacing w:before="60" w:after="80" w:line="259" w:lineRule="auto"/>
            </w:pPr>
            <w:r>
              <w:rPr>
                <w:b/>
                <w:sz w:val="19"/>
              </w:rPr>
              <w:t>9 导轨、导靴及支架</w:t>
              <w:br/>
              <w:t>Rails, shoes and brackets</w:t>
            </w:r>
          </w:p>
        </w:tc>
        <w:tc>
          <w:tcPr>
            <w:tcW w:type="dxa" w:w="3288"/>
          </w:tcPr>
          <w:p>
            <w:pPr>
              <w:spacing w:before="60" w:after="80" w:line="259" w:lineRule="auto"/>
            </w:pPr>
            <w:r>
              <w:rPr>
                <w:sz w:val="19"/>
              </w:rPr>
              <w:t>引导轿厢垂直移动并限制横向偏移；支架固定导轨。</w:t>
            </w:r>
          </w:p>
        </w:tc>
        <w:tc>
          <w:tcPr>
            <w:tcW w:type="dxa" w:w="4706"/>
          </w:tcPr>
          <w:p>
            <w:pPr>
              <w:spacing w:before="60" w:after="80" w:line="259" w:lineRule="auto"/>
            </w:pPr>
            <w:r>
              <w:rPr>
                <w:sz w:val="19"/>
              </w:rPr>
              <w:t>Rails and shoes guide the car vertically and restrain lateral movement. Brackets secure the rails.</w:t>
            </w:r>
          </w:p>
        </w:tc>
      </w:tr>
      <w:tr>
        <w:trPr>
          <w:cantSplit/>
        </w:trPr>
        <w:tc>
          <w:tcPr>
            <w:tcW w:type="dxa" w:w="2098"/>
          </w:tcPr>
          <w:p>
            <w:pPr>
              <w:spacing w:before="60" w:after="80" w:line="259" w:lineRule="auto"/>
            </w:pPr>
            <w:r>
              <w:rPr>
                <w:b/>
                <w:sz w:val="19"/>
              </w:rPr>
              <w:t>10 门、门机及联锁</w:t>
              <w:br/>
              <w:t>Doors, operator and interlocks</w:t>
            </w:r>
          </w:p>
        </w:tc>
        <w:tc>
          <w:tcPr>
            <w:tcW w:type="dxa" w:w="3288"/>
          </w:tcPr>
          <w:p>
            <w:pPr>
              <w:spacing w:before="60" w:after="80" w:line="259" w:lineRule="auto"/>
            </w:pPr>
            <w:r>
              <w:rPr>
                <w:sz w:val="19"/>
              </w:rPr>
              <w:t>控制乘客出入。门未正确关闭并锁紧时，联锁阻止正常运行。</w:t>
            </w:r>
          </w:p>
        </w:tc>
        <w:tc>
          <w:tcPr>
            <w:tcW w:type="dxa" w:w="4706"/>
          </w:tcPr>
          <w:p>
            <w:pPr>
              <w:spacing w:before="60" w:after="80" w:line="259" w:lineRule="auto"/>
            </w:pPr>
            <w:r>
              <w:rPr>
                <w:sz w:val="19"/>
              </w:rPr>
              <w:t>Doors control passenger access. Interlocks prevent normal travel unless the doors are properly closed and locked.</w:t>
            </w:r>
          </w:p>
        </w:tc>
      </w:tr>
      <w:tr>
        <w:trPr>
          <w:cantSplit/>
        </w:trPr>
        <w:tc>
          <w:tcPr>
            <w:tcW w:type="dxa" w:w="2098"/>
          </w:tcPr>
          <w:p>
            <w:pPr>
              <w:spacing w:before="60" w:after="80" w:line="259" w:lineRule="auto"/>
            </w:pPr>
            <w:r>
              <w:rPr>
                <w:b/>
                <w:sz w:val="19"/>
              </w:rPr>
              <w:t>11 平层及限位装置</w:t>
              <w:br/>
              <w:t>Levelling and limit devices</w:t>
            </w:r>
          </w:p>
        </w:tc>
        <w:tc>
          <w:tcPr>
            <w:tcW w:type="dxa" w:w="3288"/>
          </w:tcPr>
          <w:p>
            <w:pPr>
              <w:spacing w:before="60" w:after="80" w:line="259" w:lineRule="auto"/>
            </w:pPr>
            <w:r>
              <w:rPr>
                <w:sz w:val="19"/>
              </w:rPr>
              <w:t>平层装置使轿厢准确停靠楼层；限位装置防止超出规定行程。</w:t>
            </w:r>
          </w:p>
        </w:tc>
        <w:tc>
          <w:tcPr>
            <w:tcW w:type="dxa" w:w="4706"/>
          </w:tcPr>
          <w:p>
            <w:pPr>
              <w:spacing w:before="60" w:after="80" w:line="259" w:lineRule="auto"/>
            </w:pPr>
            <w:r>
              <w:rPr>
                <w:sz w:val="19"/>
              </w:rPr>
              <w:t>Levelling devices provide accurate landing alignment. Limit devices prevent travel beyond the permitted range.</w:t>
            </w:r>
          </w:p>
        </w:tc>
      </w:tr>
      <w:tr>
        <w:trPr>
          <w:cantSplit/>
        </w:trPr>
        <w:tc>
          <w:tcPr>
            <w:tcW w:type="dxa" w:w="2098"/>
          </w:tcPr>
          <w:p>
            <w:pPr>
              <w:spacing w:before="60" w:after="80" w:line="259" w:lineRule="auto"/>
            </w:pPr>
            <w:r>
              <w:rPr>
                <w:b/>
                <w:sz w:val="19"/>
              </w:rPr>
              <w:t>12 底坑缓冲器</w:t>
              <w:br/>
              <w:t>Pit buffers</w:t>
            </w:r>
          </w:p>
        </w:tc>
        <w:tc>
          <w:tcPr>
            <w:tcW w:type="dxa" w:w="3288"/>
          </w:tcPr>
          <w:p>
            <w:pPr>
              <w:spacing w:before="60" w:after="80" w:line="259" w:lineRule="auto"/>
            </w:pPr>
            <w:r>
              <w:rPr>
                <w:sz w:val="19"/>
              </w:rPr>
              <w:t>在轿厢底部发生越程冲击时吸收能量。</w:t>
            </w:r>
          </w:p>
        </w:tc>
        <w:tc>
          <w:tcPr>
            <w:tcW w:type="dxa" w:w="4706"/>
          </w:tcPr>
          <w:p>
            <w:pPr>
              <w:spacing w:before="60" w:after="80" w:line="259" w:lineRule="auto"/>
            </w:pPr>
            <w:r>
              <w:rPr>
                <w:sz w:val="19"/>
              </w:rPr>
              <w:t>Pit buffers absorb impact energy if the car overruns at the bottom of travel.</w:t>
            </w:r>
          </w:p>
        </w:tc>
      </w:tr>
    </w:tbl>
    <w:p>
      <w:pPr>
        <w:pStyle w:val="Heading2"/>
      </w:pPr>
      <w:r>
        <w:t>2.2 运作过程 / Operation</w:t>
      </w:r>
    </w:p>
    <w:p>
      <w:r>
        <w:t>上升时，电动机驱动油泵向油缸供油，使柱塞伸出并顶升轿厢。停止时，阀组保持油缸内的油液，使轿厢停留在所需位置。下降时，阀组允许油液受控流回油箱，轿厢重量使柱塞缩回，轿厢随之下降。</w:t>
      </w:r>
    </w:p>
    <w:p>
      <w:r>
        <w:t>During ascent, the motor drives the pump to supply oil to the cylinder, extending the plunger and raising the car. During holding, the valve arrangement retains oil in the cylinder to keep the car at the required position. During descent, the valves allow controlled oil return to the tank, and the weight of the car retracts the plunger.</w:t>
      </w:r>
    </w:p>
    <w:sectPr w:rsidR="00FC693F" w:rsidRPr="0006063C" w:rsidSect="00034616">
      <w:headerReference w:type="default" r:id="rId9"/>
      <w:footerReference w:type="default" r:id="rId10"/>
      <w:pgSz w:w="11906" w:h="16838"/>
      <w:pgMar w:top="879" w:right="907" w:bottom="850" w:left="907"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PIA5704  |  Q1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4" w:lineRule="auto"/>
    </w:pPr>
    <w:rPr>
      <w:rFonts w:ascii="Calibri" w:hAnsi="Calibri" w:eastAsia="Noto Sans CJK S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40"/>
      <w:outlineLvl w:val="0"/>
    </w:pPr>
    <w:rPr>
      <w:rFonts w:asciiTheme="majorHAnsi" w:eastAsiaTheme="majorEastAsia" w:hAnsiTheme="majorHAnsi" w:cstheme="majorBidi" w:ascii="Calibri" w:hAnsi="Calibri" w:eastAsia="Noto Sans CJK SC"/>
      <w:b/>
      <w:bCs/>
      <w:color w:val="17364D"/>
      <w:sz w:val="32"/>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Calibri" w:hAnsi="Calibri" w:eastAsia="Noto Sans CJK SC"/>
      <w:b/>
      <w:bCs/>
      <w:color w:val="17364D"/>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contextualSpacing/>
    </w:pPr>
    <w:rPr>
      <w:rFonts w:asciiTheme="majorHAnsi" w:eastAsiaTheme="majorEastAsia" w:hAnsiTheme="majorHAnsi" w:cstheme="majorBidi" w:ascii="Calibri" w:hAnsi="Calibri" w:eastAsia="Noto Sans CJK SC"/>
      <w:color w:val="17364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Calibri" w:hAnsi="Calibri" w:eastAsia="Noto Sans CJK SC"/>
      <w:sz w:val="2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eastAsia="Noto Sans CJK SC"/>
      <w:b/>
      <w:bCs/>
      <w:color w:val="4F81BD" w:themeColor="accent1"/>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rPr>
      <w:rFonts w:ascii="Calibri" w:hAnsi="Calibri" w:eastAsia="Noto Sans CJK SC"/>
      <w:sz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PIA5704 Q1 — Electric Traction and Direct-Ram Hydraulic Lifts</dc:title>
  <dc:subject>Bilingual answer</dc:subject>
  <dc:creator/>
  <cp:keywords/>
  <dc:description/>
  <cp:lastModifiedBy/>
  <cp:revision>1</cp:revision>
  <dcterms:created xsi:type="dcterms:W3CDTF">2013-12-23T23:15:00Z</dcterms:created>
  <dcterms:modified xsi:type="dcterms:W3CDTF">2013-12-23T23:15:00Z</dcterms:modified>
  <cp:category/>
</cp:coreProperties>
</file>