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Q2 审题与答案分析</w:t>
        <w:br/>
        <w:t>Question interpretation and answer analysis</w:t>
      </w:r>
    </w:p>
    <w:p>
      <w:pPr>
        <w:pStyle w:val="Heading2"/>
      </w:pPr>
      <w:r>
        <w:t>1 题目实际要求 / What the question requires</w:t>
      </w:r>
    </w:p>
    <w:p>
      <w:r>
        <w:t>题目核心是：“List and give qualitative explanations on the factors governing the selection and sizing of electric cables … of an industrial environment.” 即列出工业电气装置中影响电缆选择及截面确定的因素，并说明原因。题目前列出的三组表，是判断这些因素的依据。</w:t>
      </w:r>
    </w:p>
    <w:p>
      <w:r>
        <w:t>The task is to list the factors governing cable selection and sizing in an industrial installation and give qualitative explanations. The three specified table groups provide the basis for identifying and explaining those factors.</w:t>
      </w:r>
    </w:p>
    <w:tbl>
      <w:tblPr>
        <w:tblStyle w:val="TableGrid"/>
        <w:tblW w:type="auto" w:w="0"/>
        <w:tblLayout w:type="fixed"/>
        <w:tblLook w:firstColumn="1" w:firstRow="1" w:lastColumn="0" w:lastRow="0" w:noHBand="0" w:noVBand="1" w:val="04A0"/>
      </w:tblPr>
      <w:tblGrid>
        <w:gridCol w:w="2608"/>
        <w:gridCol w:w="7540"/>
      </w:tblGrid>
      <w:tr>
        <w:trPr>
          <w:tblHeader/>
        </w:trPr>
        <w:tc>
          <w:tcPr>
            <w:tcW w:type="dxa" w:w="2608"/>
            <w:shd w:fill="E8EEF4"/>
          </w:tcPr>
          <w:p>
            <w:r>
              <w:t>要点 / Point</w:t>
            </w:r>
          </w:p>
        </w:tc>
        <w:tc>
          <w:tcPr>
            <w:tcW w:type="dxa" w:w="7540"/>
            <w:shd w:fill="E8EEF4"/>
          </w:tcPr>
          <w:p>
            <w:r>
              <w:t>判读及含义 / Interpretation</w:t>
            </w:r>
          </w:p>
        </w:tc>
      </w:tr>
      <w:tr>
        <w:trPr>
          <w:cantSplit/>
        </w:trPr>
        <w:tc>
          <w:tcPr>
            <w:tcW w:type="dxa" w:w="2608"/>
          </w:tcPr>
          <w:p>
            <w:pPr>
              <w:spacing w:before="40" w:after="80" w:line="250" w:lineRule="auto"/>
            </w:pPr>
            <w:r>
              <w:rPr>
                <w:sz w:val="20"/>
              </w:rPr>
              <w:t>List</w:t>
              <w:br/>
              <w:t>列出因素</w:t>
            </w:r>
          </w:p>
        </w:tc>
        <w:tc>
          <w:tcPr>
            <w:tcW w:type="dxa" w:w="7540"/>
          </w:tcPr>
          <w:p>
            <w:pPr>
              <w:spacing w:before="40" w:after="80" w:line="250" w:lineRule="auto"/>
            </w:pPr>
            <w:r>
              <w:rPr>
                <w:sz w:val="20"/>
              </w:rPr>
              <w:t>将温度、成组、安装方式、负载及压降等分别写明。</w:t>
              <w:br/>
              <w:t>Identify individual factors such as temperature, grouping, installation, loading and voltage drop.</w:t>
            </w:r>
          </w:p>
        </w:tc>
      </w:tr>
      <w:tr>
        <w:trPr>
          <w:cantSplit/>
        </w:trPr>
        <w:tc>
          <w:tcPr>
            <w:tcW w:type="dxa" w:w="2608"/>
          </w:tcPr>
          <w:p>
            <w:pPr>
              <w:spacing w:before="40" w:after="80" w:line="250" w:lineRule="auto"/>
            </w:pPr>
            <w:r>
              <w:rPr>
                <w:sz w:val="20"/>
              </w:rPr>
              <w:t>Qualitative explanations</w:t>
              <w:br/>
              <w:t>定性解释</w:t>
            </w:r>
          </w:p>
        </w:tc>
        <w:tc>
          <w:tcPr>
            <w:tcW w:type="dxa" w:w="7540"/>
          </w:tcPr>
          <w:p>
            <w:pPr>
              <w:spacing w:before="40" w:after="80" w:line="250" w:lineRule="auto"/>
            </w:pPr>
            <w:r>
              <w:rPr>
                <w:sz w:val="20"/>
              </w:rPr>
              <w:t>每项说明“条件 → 影响 → 选型结果”：例如成组增加 → 互相加热 → 载流量降低，可能需增大截面或改善间距。</w:t>
              <w:br/>
              <w:t>Explain condition → effect → selection consequence; e.g. more grouping → mutual heating → lower capacity and possibly a larger size or better spacing.</w:t>
            </w:r>
          </w:p>
        </w:tc>
      </w:tr>
      <w:tr>
        <w:trPr>
          <w:cantSplit/>
        </w:trPr>
        <w:tc>
          <w:tcPr>
            <w:tcW w:type="dxa" w:w="2608"/>
          </w:tcPr>
          <w:p>
            <w:pPr>
              <w:spacing w:before="40" w:after="80" w:line="250" w:lineRule="auto"/>
            </w:pPr>
            <w:r>
              <w:rPr>
                <w:sz w:val="20"/>
              </w:rPr>
              <w:t>Selection and sizing</w:t>
              <w:br/>
              <w:t>选型与截面</w:t>
            </w:r>
          </w:p>
        </w:tc>
        <w:tc>
          <w:tcPr>
            <w:tcW w:type="dxa" w:w="7540"/>
          </w:tcPr>
          <w:p>
            <w:pPr>
              <w:spacing w:before="40" w:after="80" w:line="250" w:lineRule="auto"/>
            </w:pPr>
            <w:r>
              <w:rPr>
                <w:sz w:val="20"/>
              </w:rPr>
              <w:t>选型包括导体、绝缘、芯数、护套和铠装；截面要满足热、电压及损耗要求。两方面都需回答。</w:t>
              <w:br/>
              <w:t>Selection includes material, insulation, cores, sheath and armour. Sizing must satisfy thermal, voltage and loss requirements. Address both.</w:t>
            </w:r>
          </w:p>
        </w:tc>
      </w:tr>
      <w:tr>
        <w:trPr>
          <w:cantSplit/>
        </w:trPr>
        <w:tc>
          <w:tcPr>
            <w:tcW w:type="dxa" w:w="2608"/>
          </w:tcPr>
          <w:p>
            <w:pPr>
              <w:spacing w:before="40" w:after="80" w:line="250" w:lineRule="auto"/>
            </w:pPr>
            <w:r>
              <w:rPr>
                <w:sz w:val="20"/>
              </w:rPr>
              <w:t>Industrial environment</w:t>
              <w:br/>
              <w:t>工业背景</w:t>
            </w:r>
          </w:p>
        </w:tc>
        <w:tc>
          <w:tcPr>
            <w:tcW w:type="dxa" w:w="7540"/>
          </w:tcPr>
          <w:p>
            <w:pPr>
              <w:spacing w:before="40" w:after="80" w:line="250" w:lineRule="auto"/>
            </w:pPr>
            <w:r>
              <w:rPr>
                <w:sz w:val="20"/>
              </w:rPr>
              <w:t>结合电动机、长时间负载、多回路桥架、油污、化学品、振动和机械损伤解释，而不只写住宅回路的通用词语。</w:t>
              <w:br/>
              <w:t>Connect the factors to motors, long operating hours, grouped circuits, oil, chemicals, vibration and mechanical damage.</w:t>
            </w:r>
          </w:p>
        </w:tc>
      </w:tr>
    </w:tbl>
    <w:p>
      <w:pPr>
        <w:pStyle w:val="Heading2"/>
      </w:pPr>
      <w:r>
        <w:t>2 答案范围 / Scope of the answer</w:t>
      </w:r>
    </w:p>
    <w:p>
      <w:r>
        <w:t>Q2没有给定负载、电压、线路长度或完整敷设条件，因此不能得出唯一mm²答案，也无需抄录所有Method或修正数值。正式答案采用12项因素，每项包含原因和选型影响；本分析稿保留查表细节。Q1中的“major components”并不是Q2的限制。</w:t>
      </w:r>
    </w:p>
    <w:p>
      <w:r>
        <w:t>Q2 supplies no load, voltage, route length or complete installation conditions, so no unique conductor size can be calculated. There is no need to reproduce every Method or factor. The written answer gives 12 factors with causes and consequences; this guide retains the table details. The phrase “major components” belongs to Q1, not Q2.</w:t>
      </w:r>
    </w:p>
    <w:p>
      <w:r>
        <w:t>PPT《Electrical Distribution System II》的Cable Sizing部分，S78–S83分别覆盖电缆结构、载流量、压降、损耗、外部环境及选线示例。正式答案以这些内容为框架，再补全所给图表的条件。</w:t>
      </w:r>
    </w:p>
    <w:p>
      <w:r>
        <w:t>In Electrical Distribution System II, Cable Sizing slides S78–S83 cover construction, capacity, voltage drop, losses, external influences and a worked example. These provide the framework, supplemented by the supplied tables.</w:t>
      </w:r>
    </w:p>
    <w:p>
      <w:pPr>
        <w:pStyle w:val="Heading1"/>
        <w:pageBreakBefore/>
      </w:pPr>
      <w:r>
        <w:t>3 三组图表怎样配合</w:t>
        <w:br/>
        <w:t>Using the three table groups together</w:t>
      </w:r>
    </w:p>
    <w:tbl>
      <w:tblPr>
        <w:tblStyle w:val="TableGrid"/>
        <w:tblW w:type="auto" w:w="0"/>
        <w:tblLayout w:type="fixed"/>
        <w:tblLook w:firstColumn="1" w:firstRow="1" w:lastColumn="0" w:lastRow="0" w:noHBand="0" w:noVBand="1" w:val="04A0"/>
      </w:tblPr>
      <w:tblGrid>
        <w:gridCol w:w="2608"/>
        <w:gridCol w:w="7540"/>
      </w:tblGrid>
      <w:tr>
        <w:trPr>
          <w:tblHeader/>
        </w:trPr>
        <w:tc>
          <w:tcPr>
            <w:tcW w:type="dxa" w:w="2608"/>
            <w:shd w:fill="E8EEF4"/>
          </w:tcPr>
          <w:p>
            <w:r>
              <w:t>要点 / Point</w:t>
            </w:r>
          </w:p>
        </w:tc>
        <w:tc>
          <w:tcPr>
            <w:tcW w:type="dxa" w:w="7540"/>
            <w:shd w:fill="E8EEF4"/>
          </w:tcPr>
          <w:p>
            <w:r>
              <w:t>判读及含义 / Interpretation</w:t>
            </w:r>
          </w:p>
        </w:tc>
      </w:tr>
      <w:tr>
        <w:trPr>
          <w:cantSplit/>
        </w:trPr>
        <w:tc>
          <w:tcPr>
            <w:tcW w:type="dxa" w:w="2608"/>
          </w:tcPr>
          <w:p>
            <w:pPr>
              <w:spacing w:before="40" w:after="80" w:line="250" w:lineRule="auto"/>
            </w:pPr>
            <w:r>
              <w:rPr>
                <w:sz w:val="20"/>
              </w:rPr>
              <w:t>① Appendix 7</w:t>
              <w:br/>
              <w:t>识别安装条件</w:t>
            </w:r>
          </w:p>
        </w:tc>
        <w:tc>
          <w:tcPr>
            <w:tcW w:type="dxa" w:w="7540"/>
          </w:tcPr>
          <w:p>
            <w:pPr>
              <w:spacing w:before="40" w:after="80" w:line="250" w:lineRule="auto"/>
            </w:pPr>
            <w:r>
              <w:rPr>
                <w:sz w:val="20"/>
              </w:rPr>
              <w:t>先看电缆在哪里、怎样固定、是否围护、是否隔热、支承及间距如何，然后确定参考Method。</w:t>
              <w:br/>
              <w:t>Identify location, support, enclosure, insulation and spacing, then determine the reference Method.</w:t>
            </w:r>
          </w:p>
        </w:tc>
      </w:tr>
      <w:tr>
        <w:trPr>
          <w:cantSplit/>
        </w:trPr>
        <w:tc>
          <w:tcPr>
            <w:tcW w:type="dxa" w:w="2608"/>
          </w:tcPr>
          <w:p>
            <w:pPr>
              <w:spacing w:before="40" w:after="80" w:line="250" w:lineRule="auto"/>
            </w:pPr>
            <w:r>
              <w:rPr>
                <w:sz w:val="20"/>
              </w:rPr>
              <w:t>② Table A6(1)</w:t>
              <w:br/>
              <w:t>读取基准数据</w:t>
            </w:r>
          </w:p>
        </w:tc>
        <w:tc>
          <w:tcPr>
            <w:tcW w:type="dxa" w:w="7540"/>
          </w:tcPr>
          <w:p>
            <w:pPr>
              <w:spacing w:before="40" w:after="80" w:line="250" w:lineRule="auto"/>
            </w:pPr>
            <w:r>
              <w:rPr>
                <w:sz w:val="20"/>
              </w:rPr>
              <w:t>匹配电缆类型、截面、相制及Method栏位，读取基准载流量；压降页另按相制及排列选值。</w:t>
              <w:br/>
              <w:t>Match cable type, cross-section, phase and Method to the base current rating; select voltage-drop data by phase and formation.</w:t>
            </w:r>
          </w:p>
        </w:tc>
      </w:tr>
      <w:tr>
        <w:trPr>
          <w:cantSplit/>
        </w:trPr>
        <w:tc>
          <w:tcPr>
            <w:tcW w:type="dxa" w:w="2608"/>
          </w:tcPr>
          <w:p>
            <w:pPr>
              <w:spacing w:before="40" w:after="80" w:line="250" w:lineRule="auto"/>
            </w:pPr>
            <w:r>
              <w:rPr>
                <w:sz w:val="20"/>
              </w:rPr>
              <w:t>③ Tables A5(1)–A5(6)</w:t>
              <w:br/>
              <w:t>修正与适用条件</w:t>
            </w:r>
          </w:p>
        </w:tc>
        <w:tc>
          <w:tcPr>
            <w:tcW w:type="dxa" w:w="7540"/>
          </w:tcPr>
          <w:p>
            <w:pPr>
              <w:spacing w:before="40" w:after="80" w:line="250" w:lineRule="auto"/>
            </w:pPr>
            <w:r>
              <w:rPr>
                <w:sz w:val="20"/>
              </w:rPr>
              <w:t>根据实际温度、成组、隔热、保护器件及地沟条件修正，再检查压降、故障保护及损耗。不属于该布置的系数不能任意相乘。</w:t>
              <w:br/>
              <w:t>Apply relevant temperature, grouping, insulation, device and trench corrections, then check voltage drop, protection and losses. Do not multiply unrelated factors.</w:t>
            </w:r>
          </w:p>
        </w:tc>
      </w:tr>
    </w:tbl>
    <w:p>
      <w:pPr>
        <w:pStyle w:val="Heading2"/>
      </w:pPr>
      <w:r>
        <w:t>A6(1)的适用范围 / Scope of A6(1)</w:t>
      </w:r>
    </w:p>
    <w:p>
      <w:r>
        <w:t>表头为单芯、PVC绝缘、非铠装铜导体电缆，可带或不带护套；基准环境温度30°C、导体温度70°C。其他材料或结构须找适用额定资料。表注仅允许指定BS 6004柔性电缆及BS 6231的85／90°C耐热PVC电缆在固定安装时使用第2–5栏载流量，不能推广到所有栏位。</w:t>
      </w:r>
    </w:p>
    <w:p>
      <w:r>
        <w:t>The table covers single-core, PVC-insulated, non-armoured copper cables, with or without sheath, at 30°C ambient and 70°C conductor temperature. Other constructions need applicable data. Its note extends columns 2–5 only to the specified BS 6004 flexible and BS 6231 85/90°C heat-resisting PVC cables in fixed installations.</w:t>
      </w:r>
    </w:p>
    <w:p>
      <w:pPr>
        <w:pStyle w:val="Heading2"/>
      </w:pPr>
      <w:r>
        <w:t>为什么必须选对Method / Why the Method matters</w:t>
      </w:r>
    </w:p>
    <w:p>
      <w:r>
        <w:t>同为4mm²三相铜电缆，A6(1)的基准值为Method 4：24A；Method 3：28A；Method 1：33A。隔热墙内、一般管槽内、直接固定的散热能力不同，因此同一截面没有唯一载流量。这三个值只是解释安装方式影响的比较，不是Q2的最终选线结果。</w:t>
      </w:r>
    </w:p>
    <w:p>
      <w:r>
        <w:t>For the same 4mm² three-phase cable, A6(1) gives 24A for Method 4, 28A for Method 3 and 33A for Method 1. An insulated wall, ordinary conduit/trunking and clipped-direct installation dissipate heat differently. These values illustrate the installation effect; they do not specify a final cable for Q2.</w:t>
      </w:r>
    </w:p>
    <w:p>
      <w:r>
        <w:t>Appendix 7中，安装方式3、5及7–10归入参考Method 3；4、6及15归入参考Method 4。方式11为有孔桥架；12、13分别覆盖所示单芯及多芯自由空气布置；14和17按适当的12或13处理。18–20为封闭地沟。方式16的建筑孔洞则须按其尺寸表注判断。安装方式编号与参考Method并非总是相同。</w:t>
      </w:r>
    </w:p>
    <w:p>
      <w:r>
        <w:t>Installation items 3, 5 and 7–10 use reference Method 3; items 4, 6 and 15 use Method 4. Item 11 covers perforated trays; 12 and 13 cover the stated single-core and multicore free-air arrangements. Items 14 and 17 use 12 or 13 as appropriate; 18–20 are enclosed trenches. Item 16 requires its void-dimension rules. Installation-item and reference-Method numbers are not always identical.</w:t>
      </w:r>
    </w:p>
    <w:p>
      <w:pPr>
        <w:pStyle w:val="Heading1"/>
        <w:pageBreakBefore/>
      </w:pPr>
      <w:r>
        <w:t>4 温度与成组修正的判读</w:t>
        <w:br/>
        <w:t>Interpreting temperature and grouping corrections</w:t>
      </w:r>
    </w:p>
    <w:p>
      <w:pPr>
        <w:pStyle w:val="Heading2"/>
      </w:pPr>
      <w:r>
        <w:t>A5(1)与A5(2)：先区分保护用途 / Establish the protection duty</w:t>
      </w:r>
    </w:p>
    <w:p>
      <w:r>
        <w:t>温度升高会减少允许温升余量。A5(1)用于仅作短路保护的情况，也用于一般过载保护，但BS 3036半封闭熔断器承担过载保护时改用A5(2)。普通70°C PVC在45°C下，前者为0.79、后者为0.91。两数不能任选，也不能同时相乘。</w:t>
      </w:r>
    </w:p>
    <w:p>
      <w:r>
        <w:t>Higher ambient temperature reduces thermal margin. A5(1) applies to short-circuit-only protection and generally to overload protection, except BS 3036 semi-enclosed fuses providing overload protection, which use A5(2). At 45°C, ordinary 70°C PVC has factors 0.79 and 0.91 respectively. These are alternatives, not simultaneous multipliers.</w:t>
      </w:r>
    </w:p>
    <w:p>
      <w:pPr>
        <w:pStyle w:val="Heading2"/>
      </w:pPr>
      <w:r>
        <w:t>A5(3)：数量及排列决定互热 / Count and arrangement determine mutual heating</w:t>
      </w:r>
    </w:p>
    <w:p>
      <w:r>
        <w:t>围护或成束那一行，2回路系数0.80、4回路0.65。若其他条件相同，系数越低，单位截面可用载流量越小，可能需要更大截面。其他桥架排列须查各自的行，不能一律使用成束系数。</w:t>
      </w:r>
    </w:p>
    <w:p>
      <w:r>
        <w:t>In the enclosed/bunched row, the factors are 0.80 for two circuits and 0.65 for four. With other conditions unchanged, a lower factor means less available capacity and possibly a larger conductor. Other tray arrangements require their own rows, rather than the bunched factor in every case.</w:t>
      </w:r>
    </w:p>
    <w:tbl>
      <w:tblPr>
        <w:tblStyle w:val="TableGrid"/>
        <w:tblW w:type="auto" w:w="0"/>
        <w:tblLayout w:type="fixed"/>
        <w:tblLook w:firstColumn="1" w:firstRow="1" w:lastColumn="0" w:lastRow="0" w:noHBand="0" w:noVBand="1" w:val="04A0"/>
      </w:tblPr>
      <w:tblGrid>
        <w:gridCol w:w="2608"/>
        <w:gridCol w:w="7540"/>
      </w:tblGrid>
      <w:tr>
        <w:trPr>
          <w:tblHeader/>
        </w:trPr>
        <w:tc>
          <w:tcPr>
            <w:tcW w:type="dxa" w:w="2608"/>
            <w:shd w:fill="E8EEF4"/>
          </w:tcPr>
          <w:p>
            <w:r>
              <w:t>要点 / Point</w:t>
            </w:r>
          </w:p>
        </w:tc>
        <w:tc>
          <w:tcPr>
            <w:tcW w:type="dxa" w:w="7540"/>
            <w:shd w:fill="E8EEF4"/>
          </w:tcPr>
          <w:p>
            <w:r>
              <w:t>判读及含义 / Interpretation</w:t>
            </w:r>
          </w:p>
        </w:tc>
      </w:tr>
      <w:tr>
        <w:trPr>
          <w:cantSplit/>
        </w:trPr>
        <w:tc>
          <w:tcPr>
            <w:tcW w:type="dxa" w:w="2608"/>
          </w:tcPr>
          <w:p>
            <w:pPr>
              <w:spacing w:before="40" w:after="80" w:line="250" w:lineRule="auto"/>
            </w:pPr>
            <w:r>
              <w:rPr>
                <w:sz w:val="20"/>
              </w:rPr>
              <w:t>间距 / Spacing</w:t>
            </w:r>
          </w:p>
        </w:tc>
        <w:tc>
          <w:tcPr>
            <w:tcW w:type="dxa" w:w="7540"/>
          </w:tcPr>
          <w:p>
            <w:pPr>
              <w:spacing w:before="40" w:after="80" w:line="250" w:lineRule="auto"/>
            </w:pPr>
            <w:r>
              <w:rPr>
                <w:sz w:val="20"/>
              </w:rPr>
              <w:t>“Spaced”指相邻电缆表面净距至少一个外径De。表注所适用的水平排列中，净距大于2De可免成组修正；不能将此规则推广至所有围护及地沟。</w:t>
              <w:br/>
              <w:t>“Spaced” means a surface clearance of at least De. The note removes grouping correction above 2De in its applicable horizontal arrangements, not in every enclosure or trench.</w:t>
            </w:r>
          </w:p>
        </w:tc>
      </w:tr>
      <w:tr>
        <w:trPr>
          <w:cantSplit/>
        </w:trPr>
        <w:tc>
          <w:tcPr>
            <w:tcW w:type="dxa" w:w="2608"/>
          </w:tcPr>
          <w:p>
            <w:pPr>
              <w:spacing w:before="40" w:after="80" w:line="250" w:lineRule="auto"/>
            </w:pPr>
            <w:r>
              <w:rPr>
                <w:sz w:val="20"/>
              </w:rPr>
              <w:t>相同截面 / Same size</w:t>
            </w:r>
          </w:p>
        </w:tc>
        <w:tc>
          <w:tcPr>
            <w:tcW w:type="dxa" w:w="7540"/>
          </w:tcPr>
          <w:p>
            <w:pPr>
              <w:spacing w:before="40" w:after="80" w:line="250" w:lineRule="auto"/>
            </w:pPr>
            <w:r>
              <w:rPr>
                <w:sz w:val="20"/>
              </w:rPr>
              <w:t>基本系数适用于同一截面的成组电缆；混合截面需要适用评估。</w:t>
              <w:br/>
              <w:t>The basic factors apply to groups of one conductor size; mixed sizes need an applicable assessment.</w:t>
            </w:r>
          </w:p>
        </w:tc>
      </w:tr>
      <w:tr>
        <w:trPr>
          <w:cantSplit/>
        </w:trPr>
        <w:tc>
          <w:tcPr>
            <w:tcW w:type="dxa" w:w="2608"/>
          </w:tcPr>
          <w:p>
            <w:pPr>
              <w:spacing w:before="40" w:after="80" w:line="250" w:lineRule="auto"/>
            </w:pPr>
            <w:r>
              <w:rPr>
                <w:sz w:val="20"/>
              </w:rPr>
              <w:t>不同温度 / Mixed temperatures</w:t>
            </w:r>
          </w:p>
        </w:tc>
        <w:tc>
          <w:tcPr>
            <w:tcW w:type="dxa" w:w="7540"/>
          </w:tcPr>
          <w:p>
            <w:pPr>
              <w:spacing w:before="40" w:after="80" w:line="250" w:lineRule="auto"/>
            </w:pPr>
            <w:r>
              <w:rPr>
                <w:sz w:val="20"/>
              </w:rPr>
              <w:t>同组电缆的允许导体温度不同时，按组内最低允许温度确定额定值。</w:t>
              <w:br/>
              <w:t>For mixed permissible conductor temperatures, base the rating on the lowest.</w:t>
            </w:r>
          </w:p>
        </w:tc>
      </w:tr>
      <w:tr>
        <w:trPr>
          <w:cantSplit/>
        </w:trPr>
        <w:tc>
          <w:tcPr>
            <w:tcW w:type="dxa" w:w="2608"/>
          </w:tcPr>
          <w:p>
            <w:pPr>
              <w:spacing w:before="40" w:after="80" w:line="250" w:lineRule="auto"/>
            </w:pPr>
            <w:r>
              <w:rPr>
                <w:sz w:val="20"/>
              </w:rPr>
              <w:t>30%表注 / The 30% note</w:t>
            </w:r>
          </w:p>
        </w:tc>
        <w:tc>
          <w:tcPr>
            <w:tcW w:type="dxa" w:w="7540"/>
          </w:tcPr>
          <w:p>
            <w:pPr>
              <w:spacing w:before="40" w:after="80" w:line="250" w:lineRule="auto"/>
            </w:pPr>
            <w:r>
              <w:rPr>
                <w:sz w:val="20"/>
              </w:rPr>
              <w:t>已知运行条件下，某电缆预计电流不超过其成组额定值30%时，可在计算其余电缆的成组系数时忽略它；其自身仍须满足选线及保护要求。</w:t>
              <w:br/>
              <w:t>A cable expected under known conditions to carry no more than 30% of its grouped rating may be ignored when rating the remaining cables; its own sizing and protection remain necessary.</w:t>
            </w:r>
          </w:p>
        </w:tc>
      </w:tr>
    </w:tbl>
    <w:p>
      <w:pPr>
        <w:pStyle w:val="Heading1"/>
        <w:pageBreakBefore/>
      </w:pPr>
      <w:r>
        <w:t>5 隔热、器件及地沟修正</w:t>
        <w:br/>
        <w:t>Insulation, device and trench corrections</w:t>
      </w:r>
    </w:p>
    <w:p>
      <w:pPr>
        <w:pStyle w:val="Heading2"/>
      </w:pPr>
      <w:r>
        <w:t>A5(4)：隔热影响不能重复计算 / Avoid duplicating insulation effects</w:t>
      </w:r>
    </w:p>
    <w:p>
      <w:r>
        <w:t>隔热墙或天花内且一侧接触导热表面的所示布置，应采用Method 4的基准值。单根电缆完全被隔热材料包围超过0.5m时，如无更精确资料，按Method 1开放直接固定载流量的0.5倍取值。短包围长度50、100、200、400mm的系数为0.88、0.78、0.63、0.51；限导体不大于10mm²且隔热材料导热系数大于0.04W/(m·K)。不能将这些数任意再乘到已经代表同一隔热条件的额定值上。</w:t>
      </w:r>
    </w:p>
    <w:p>
      <w:r>
        <w:t>Use Method 4 for the specified insulated-wall/ceiling arrangement with one side in conducting contact. For a single cable totally surrounded for more than 0.5m, absent more precise data, use 0.5 times its Method 1 clipped-direct capacity. Factors for 50, 100, 200 and 400mm are 0.88, 0.78, 0.63 and 0.51, limited to conductors up to 10mm² and insulation conductivity above 0.04W/(m·K). Do not duplicate an insulation effect already included in the base rating.</w:t>
      </w:r>
    </w:p>
    <w:p>
      <w:pPr>
        <w:pStyle w:val="Heading2"/>
      </w:pPr>
      <w:r>
        <w:t>A5(5)：器件因素与环境因素分开 / Distinguish the device factor</w:t>
      </w:r>
    </w:p>
    <w:p>
      <w:r>
        <w:t>PPT以Cd表示器件修正：BS 3036半封闭熔断器为0.725，其他所列器件为1.0。它用于保护配合，不是环境温度系数；因此采用A5(2)后，仍应按适用条件考虑A5(5)。</w:t>
      </w:r>
    </w:p>
    <w:p>
      <w:r>
        <w:t>The PPT denotes the device factor by Cd: 0.725 for BS 3036 semi-enclosed fuses and 1.0 for the other listed devices. This concerns protection coordination, not ambient temperature. A5(5) must therefore still be considered, where applicable, after selecting A5(2).</w:t>
      </w:r>
    </w:p>
    <w:p>
      <w:pPr>
        <w:pStyle w:val="Heading2"/>
      </w:pPr>
      <w:r>
        <w:t>A5(6)：封闭地沟采用专用修正 / Use the trench-specific correction</w:t>
      </w:r>
    </w:p>
    <w:p>
      <w:r>
        <w:t>适用于Appendix 7的18–20，将表中系数用于相应Method 12或13的基础载流量。必须匹配沟体、盖板、尺寸、间距、数量及截面。截面改变后重新选系数；不同允许温度混组按最低温度。不要针对同一互热效应重复叠加一般成组系数。</w:t>
      </w:r>
    </w:p>
    <w:p>
      <w:r>
        <w:t>For items 18–20, apply the factor to the appropriate Method 12 or 13 base capacity. Match trench construction, cover, dimensions, spacing, count and conductor size. Recheck the factor after changing size, and use the lowest permissible temperature for mixed groups. Avoid duplicating the same mutual-heating effect with another grouping factor.</w:t>
      </w:r>
    </w:p>
    <w:p>
      <w:pPr>
        <w:pStyle w:val="Heading2"/>
      </w:pPr>
      <w:r>
        <w:t>PPT选线关系的含义 / Meaning of the PPT sizing relations</w:t>
      </w:r>
    </w:p>
    <w:p>
      <w:pPr>
        <w:jc w:val="center"/>
      </w:pPr>
      <w:r>
        <w:rPr>
          <w:b/>
          <w:sz w:val="24"/>
        </w:rPr>
        <w:t>I</w:t>
      </w:r>
      <w:r>
        <w:rPr>
          <w:b/>
          <w:sz w:val="24"/>
          <w:vertAlign w:val="subscript"/>
        </w:rPr>
        <w:t>b</w:t>
      </w:r>
      <w:r>
        <w:rPr>
          <w:b/>
          <w:sz w:val="24"/>
        </w:rPr>
        <w:t xml:space="preserve"> ≤ I</w:t>
      </w:r>
      <w:r>
        <w:rPr>
          <w:b/>
          <w:sz w:val="24"/>
          <w:vertAlign w:val="subscript"/>
        </w:rPr>
        <w:t>n</w:t>
      </w:r>
      <w:r>
        <w:rPr>
          <w:b/>
          <w:sz w:val="24"/>
        </w:rPr>
        <w:t xml:space="preserve"> ≤ I</w:t>
      </w:r>
      <w:r>
        <w:rPr>
          <w:b/>
          <w:sz w:val="24"/>
          <w:vertAlign w:val="subscript"/>
        </w:rPr>
        <w:t>z</w:t>
      </w:r>
    </w:p>
    <w:p>
      <w:pPr>
        <w:jc w:val="center"/>
      </w:pPr>
      <w:r>
        <w:rPr>
          <w:b/>
          <w:sz w:val="24"/>
        </w:rPr>
        <w:t>I</w:t>
      </w:r>
      <w:r>
        <w:rPr>
          <w:b/>
          <w:sz w:val="24"/>
          <w:vertAlign w:val="subscript"/>
        </w:rPr>
        <w:t>t</w:t>
      </w:r>
      <w:r>
        <w:rPr>
          <w:b/>
          <w:sz w:val="24"/>
        </w:rPr>
        <w:t xml:space="preserve"> ≥ I</w:t>
      </w:r>
      <w:r>
        <w:rPr>
          <w:b/>
          <w:sz w:val="24"/>
          <w:vertAlign w:val="subscript"/>
        </w:rPr>
        <w:t>n</w:t>
      </w:r>
      <w:r>
        <w:rPr>
          <w:b/>
          <w:sz w:val="24"/>
        </w:rPr>
        <w:t xml:space="preserve"> / (C</w:t>
      </w:r>
      <w:r>
        <w:rPr>
          <w:b/>
          <w:sz w:val="24"/>
          <w:vertAlign w:val="subscript"/>
        </w:rPr>
        <w:t>a</w:t>
      </w:r>
      <w:r>
        <w:rPr>
          <w:b/>
          <w:sz w:val="24"/>
        </w:rPr>
        <w:t xml:space="preserve"> × C</w:t>
      </w:r>
      <w:r>
        <w:rPr>
          <w:b/>
          <w:sz w:val="24"/>
          <w:vertAlign w:val="subscript"/>
        </w:rPr>
        <w:t>g</w:t>
      </w:r>
      <w:r>
        <w:rPr>
          <w:b/>
          <w:sz w:val="24"/>
        </w:rPr>
        <w:t xml:space="preserve"> × C</w:t>
      </w:r>
      <w:r>
        <w:rPr>
          <w:b/>
          <w:sz w:val="24"/>
          <w:vertAlign w:val="subscript"/>
        </w:rPr>
        <w:t>i</w:t>
      </w:r>
      <w:r>
        <w:rPr>
          <w:b/>
          <w:sz w:val="24"/>
        </w:rPr>
        <w:t xml:space="preserve"> × C</w:t>
      </w:r>
      <w:r>
        <w:rPr>
          <w:b/>
          <w:sz w:val="24"/>
          <w:vertAlign w:val="subscript"/>
        </w:rPr>
        <w:t>d</w:t>
      </w:r>
      <w:r>
        <w:rPr>
          <w:b/>
          <w:sz w:val="24"/>
        </w:rPr>
        <w:t>)</w:t>
      </w:r>
    </w:p>
    <w:p>
      <w:r>
        <w:t>Ib为设计电流，In为过载保护额定值或整定值，Iz为实际安装载流量，It为表列载流量。第一式表达基本配合；第二式体现PPT列出的适用修正，BS 3036还需满足器件因素。各系数仅在适用时采用，特殊安装按表注处理。正式答案用文字说明此关系已足够。</w:t>
      </w:r>
    </w:p>
    <w:p>
      <w:r>
        <w:t>Ib is design current, In the overload-device rating/setting, Iz installed capacity and It tabulated capacity. The first is basic coordination; the second includes the applicable PPT corrections, including the BS 3036 device factor. Use only relevant factors and follow special-installation notes. A verbal explanation is sufficient in the written answer.</w:t>
      </w:r>
    </w:p>
    <w:p>
      <w:pPr>
        <w:pStyle w:val="Heading1"/>
        <w:pageBreakBefore/>
      </w:pPr>
      <w:r>
        <w:t>6 压降与损耗：为什么还要继续核查</w:t>
        <w:br/>
        <w:t>Why voltage drop and losses require separate checks</w:t>
      </w:r>
    </w:p>
    <w:p>
      <w:pPr>
        <w:pStyle w:val="Heading2"/>
      </w:pPr>
      <w:r>
        <w:t>A6(1)压降页 / The voltage-drop page</w:t>
      </w:r>
    </w:p>
    <w:p>
      <w:r>
        <w:t>压降数据以mV/A/m表示，要匹配直流、单相或三相，以及电缆排列。大截面区分r、x、z，分别为电阻、电抗、阻抗，交流负载还要考虑功率因数。4mm²三相值为9.5，单相值为11，不能混用。增加间距虽可改善散热，但表注明超过Method 12规定间距会增加压降。</w:t>
      </w:r>
    </w:p>
    <w:p>
      <w:r>
        <w:t>Values in mV/A/m depend on d.c., single-phase or three-phase service and formation. Larger sizes distinguish resistance r, reactance x and impedance z; a.c. load power factor also matters. The 4mm² entries are 9.5 for three-phase and 11 for single-phase. Wider spacing can aid cooling but, beyond Method 12 spacing, increases voltage drop according to the note.</w:t>
      </w:r>
    </w:p>
    <w:p>
      <w:pPr>
        <w:pStyle w:val="Heading2"/>
      </w:pPr>
      <w:r>
        <w:t>PPT S83示例的判读 / Interpreting the S83 example</w:t>
      </w:r>
    </w:p>
    <w:p>
      <w:r>
        <w:t>以下只是解释查表方法：PPT示例为三相、20A MCB、45°C、表面管道、40m线路，计算时取负载20A，系统380V，上游压降1%。这些不是Q2给定的工程参数。</w:t>
      </w:r>
    </w:p>
    <w:p>
      <w:r>
        <w:t>This illustrates table use only. The PPT example uses three phases, a 20A MCB, 45°C ambient, surface conduit and a 40m route, with 20A load, 380V supply and 1% upstream drop. These are not design parameters supplied by Q2.</w:t>
      </w:r>
    </w:p>
    <w:tbl>
      <w:tblPr>
        <w:tblStyle w:val="TableGrid"/>
        <w:tblW w:type="auto" w:w="0"/>
        <w:tblLayout w:type="fixed"/>
        <w:tblLook w:firstColumn="1" w:firstRow="1" w:lastColumn="0" w:lastRow="0" w:noHBand="0" w:noVBand="1" w:val="04A0"/>
      </w:tblPr>
      <w:tblGrid>
        <w:gridCol w:w="2608"/>
        <w:gridCol w:w="7540"/>
      </w:tblGrid>
      <w:tr>
        <w:trPr>
          <w:tblHeader/>
        </w:trPr>
        <w:tc>
          <w:tcPr>
            <w:tcW w:type="dxa" w:w="2608"/>
            <w:shd w:fill="E8EEF4"/>
          </w:tcPr>
          <w:p>
            <w:r>
              <w:t>要点 / Point</w:t>
            </w:r>
          </w:p>
        </w:tc>
        <w:tc>
          <w:tcPr>
            <w:tcW w:type="dxa" w:w="7540"/>
            <w:shd w:fill="E8EEF4"/>
          </w:tcPr>
          <w:p>
            <w:r>
              <w:t>判读及含义 / Interpretation</w:t>
            </w:r>
          </w:p>
        </w:tc>
      </w:tr>
      <w:tr>
        <w:trPr>
          <w:cantSplit/>
        </w:trPr>
        <w:tc>
          <w:tcPr>
            <w:tcW w:type="dxa" w:w="2608"/>
          </w:tcPr>
          <w:p>
            <w:pPr>
              <w:spacing w:before="40" w:after="80" w:line="250" w:lineRule="auto"/>
            </w:pPr>
            <w:r>
              <w:rPr>
                <w:sz w:val="20"/>
              </w:rPr>
              <w:t>① 选择温度系数</w:t>
              <w:br/>
              <w:t>Temperature factor</w:t>
            </w:r>
          </w:p>
        </w:tc>
        <w:tc>
          <w:tcPr>
            <w:tcW w:type="dxa" w:w="7540"/>
          </w:tcPr>
          <w:p>
            <w:pPr>
              <w:spacing w:before="40" w:after="80" w:line="250" w:lineRule="auto"/>
            </w:pPr>
            <w:r>
              <w:rPr>
                <w:sz w:val="20"/>
              </w:rPr>
              <w:t>MCB采用A5(1)，普通70°C PVC在45°C下Ca＝0.79；示例未给额外成组或隔热，其他有关系数取1。</w:t>
              <w:br/>
              <w:t>Use A5(1): Ca = 0.79 for ordinary 70°C PVC at 45°C; no additional grouping or insulation is assumed.</w:t>
            </w:r>
          </w:p>
        </w:tc>
      </w:tr>
      <w:tr>
        <w:trPr>
          <w:cantSplit/>
        </w:trPr>
        <w:tc>
          <w:tcPr>
            <w:tcW w:type="dxa" w:w="2608"/>
          </w:tcPr>
          <w:p>
            <w:pPr>
              <w:spacing w:before="40" w:after="80" w:line="250" w:lineRule="auto"/>
            </w:pPr>
            <w:r>
              <w:rPr>
                <w:sz w:val="20"/>
              </w:rPr>
              <w:t>② 确定所需表列值</w:t>
              <w:br/>
              <w:t>Required table rating</w:t>
            </w:r>
          </w:p>
        </w:tc>
        <w:tc>
          <w:tcPr>
            <w:tcW w:type="dxa" w:w="7540"/>
          </w:tcPr>
          <w:p>
            <w:pPr>
              <w:spacing w:before="40" w:after="80" w:line="250" w:lineRule="auto"/>
            </w:pPr>
            <w:r>
              <w:rPr>
                <w:sz w:val="20"/>
              </w:rPr>
              <w:t>It ≥ 20 / 0.79 = 25.3A。表面管道采用参考Method 3；4mm²三相值28A满足载流量，2.5mm²的21A不足。</w:t>
              <w:br/>
              <w:t>It ≥ 25.3A. Surface conduit uses Method 3: 4mm² provides 28A, while 2.5mm² provides only 21A.</w:t>
            </w:r>
          </w:p>
        </w:tc>
      </w:tr>
      <w:tr>
        <w:trPr>
          <w:cantSplit/>
        </w:trPr>
        <w:tc>
          <w:tcPr>
            <w:tcW w:type="dxa" w:w="2608"/>
          </w:tcPr>
          <w:p>
            <w:pPr>
              <w:spacing w:before="40" w:after="80" w:line="250" w:lineRule="auto"/>
            </w:pPr>
            <w:r>
              <w:rPr>
                <w:sz w:val="20"/>
              </w:rPr>
              <w:t>③ 再查压降</w:t>
              <w:br/>
              <w:t>Voltage-drop check</w:t>
            </w:r>
          </w:p>
        </w:tc>
        <w:tc>
          <w:tcPr>
            <w:tcW w:type="dxa" w:w="7540"/>
          </w:tcPr>
          <w:p>
            <w:pPr>
              <w:spacing w:before="40" w:after="80" w:line="250" w:lineRule="auto"/>
            </w:pPr>
            <w:r>
              <w:rPr>
                <w:sz w:val="20"/>
              </w:rPr>
              <w:t>ΔV = 9.5 × 20 × 40 / 1000 = 7.6V，约为380V的2%；加上上游1%，总计约3%。</w:t>
              <w:br/>
              <w:t>The drop is 7.6V, about 2% of 380V; including 1% upstream gives approximately 3%.</w:t>
            </w:r>
          </w:p>
        </w:tc>
      </w:tr>
      <w:tr>
        <w:trPr>
          <w:cantSplit/>
        </w:trPr>
        <w:tc>
          <w:tcPr>
            <w:tcW w:type="dxa" w:w="2608"/>
          </w:tcPr>
          <w:p>
            <w:pPr>
              <w:spacing w:before="40" w:after="80" w:line="250" w:lineRule="auto"/>
            </w:pPr>
            <w:r>
              <w:rPr>
                <w:sz w:val="20"/>
              </w:rPr>
              <w:t>④ 解释而非套用</w:t>
              <w:br/>
              <w:t>Interpret, do not generalise</w:t>
            </w:r>
          </w:p>
        </w:tc>
        <w:tc>
          <w:tcPr>
            <w:tcW w:type="dxa" w:w="7540"/>
          </w:tcPr>
          <w:p>
            <w:pPr>
              <w:spacing w:before="40" w:after="80" w:line="250" w:lineRule="auto"/>
            </w:pPr>
            <w:r>
              <w:rPr>
                <w:sz w:val="20"/>
              </w:rPr>
              <w:t>PPT S82的教学取值为总压降4%，因此本例通过该检查；4%属于课件所采用的条件，不代表所有工程都可直接采用。完整设计还需保护及环境检查。</w:t>
              <w:br/>
              <w:t>The example meets the 4% total-drop allowance adopted in S82. This is the course example condition, not a universal allowance. Full design still needs protection and environmental checks.</w:t>
            </w:r>
          </w:p>
        </w:tc>
      </w:tr>
    </w:tbl>
    <w:p>
      <w:pPr>
        <w:pStyle w:val="Heading2"/>
      </w:pPr>
      <w:r>
        <w:t>功率损耗 / Power loss</w:t>
      </w:r>
    </w:p>
    <w:p>
      <w:r>
        <w:t>PPT S79把载流量、压降和功率损耗并列为截面确定的三项标准。损耗随I²R增加，工业长时间运行会放大能源费用，因此正式答案保留能源效益这一独立因素。</w:t>
      </w:r>
    </w:p>
    <w:p>
      <w:r>
        <w:t>S79 lists capacity, voltage drop and power loss as three sizing criteria. I²R losses become economically significant over long industrial operating hours, so energy efficiency remains a separate factor in the answer.</w:t>
      </w:r>
    </w:p>
    <w:p>
      <w:pPr>
        <w:pStyle w:val="Heading1"/>
        <w:pageBreakBefore/>
      </w:pPr>
      <w:r>
        <w:t>7 正式答案为何采用这12项</w:t>
        <w:br/>
        <w:t>Why the written answer uses these 12 factors</w:t>
      </w:r>
    </w:p>
    <w:tbl>
      <w:tblPr>
        <w:tblStyle w:val="TableGrid"/>
        <w:tblW w:type="auto" w:w="0"/>
        <w:tblLayout w:type="fixed"/>
        <w:tblLook w:firstColumn="1" w:firstRow="1" w:lastColumn="0" w:lastRow="0" w:noHBand="0" w:noVBand="1" w:val="04A0"/>
      </w:tblPr>
      <w:tblGrid>
        <w:gridCol w:w="2608"/>
        <w:gridCol w:w="7540"/>
      </w:tblGrid>
      <w:tr>
        <w:trPr>
          <w:tblHeader/>
        </w:trPr>
        <w:tc>
          <w:tcPr>
            <w:tcW w:type="dxa" w:w="2608"/>
            <w:shd w:fill="E8EEF4"/>
          </w:tcPr>
          <w:p>
            <w:r>
              <w:t>要点 / Point</w:t>
            </w:r>
          </w:p>
        </w:tc>
        <w:tc>
          <w:tcPr>
            <w:tcW w:type="dxa" w:w="7540"/>
            <w:shd w:fill="E8EEF4"/>
          </w:tcPr>
          <w:p>
            <w:r>
              <w:t>判读及含义 / Interpretation</w:t>
            </w:r>
          </w:p>
        </w:tc>
      </w:tr>
      <w:tr>
        <w:trPr>
          <w:cantSplit/>
        </w:trPr>
        <w:tc>
          <w:tcPr>
            <w:tcW w:type="dxa" w:w="2608"/>
          </w:tcPr>
          <w:p>
            <w:pPr>
              <w:spacing w:before="40" w:after="80" w:line="250" w:lineRule="auto"/>
            </w:pPr>
            <w:r>
              <w:rPr>
                <w:sz w:val="20"/>
              </w:rPr>
              <w:t>1–2 负载及规格</w:t>
              <w:br/>
              <w:t>Loading and specification</w:t>
            </w:r>
          </w:p>
        </w:tc>
        <w:tc>
          <w:tcPr>
            <w:tcW w:type="dxa" w:w="7540"/>
          </w:tcPr>
          <w:p>
            <w:pPr>
              <w:spacing w:before="40" w:after="80" w:line="250" w:lineRule="auto"/>
            </w:pPr>
            <w:r>
              <w:rPr>
                <w:sz w:val="20"/>
              </w:rPr>
              <w:t>先确定“要供多少电、用什么电缆”。负载、相制、导体和绝缘使后面的表格选择有意义。</w:t>
              <w:br/>
              <w:t>Establish the required supply and cable construction before selecting rating data.</w:t>
            </w:r>
          </w:p>
        </w:tc>
      </w:tr>
      <w:tr>
        <w:trPr>
          <w:cantSplit/>
        </w:trPr>
        <w:tc>
          <w:tcPr>
            <w:tcW w:type="dxa" w:w="2608"/>
          </w:tcPr>
          <w:p>
            <w:pPr>
              <w:spacing w:before="40" w:after="80" w:line="250" w:lineRule="auto"/>
            </w:pPr>
            <w:r>
              <w:rPr>
                <w:sz w:val="20"/>
              </w:rPr>
              <w:t>3 安装方式</w:t>
              <w:br/>
              <w:t>Installation</w:t>
            </w:r>
          </w:p>
        </w:tc>
        <w:tc>
          <w:tcPr>
            <w:tcW w:type="dxa" w:w="7540"/>
          </w:tcPr>
          <w:p>
            <w:pPr>
              <w:spacing w:before="40" w:after="80" w:line="250" w:lineRule="auto"/>
            </w:pPr>
            <w:r>
              <w:rPr>
                <w:sz w:val="20"/>
              </w:rPr>
              <w:t>由Appendix 7对应A6(1)的参考栏位，解释同一截面为何有不同载流量。</w:t>
              <w:br/>
              <w:t>Link Appendix 7 to the A6(1) column and explain differing ratings for the same size.</w:t>
            </w:r>
          </w:p>
        </w:tc>
      </w:tr>
      <w:tr>
        <w:trPr>
          <w:cantSplit/>
        </w:trPr>
        <w:tc>
          <w:tcPr>
            <w:tcW w:type="dxa" w:w="2608"/>
          </w:tcPr>
          <w:p>
            <w:pPr>
              <w:spacing w:before="40" w:after="80" w:line="250" w:lineRule="auto"/>
            </w:pPr>
            <w:r>
              <w:rPr>
                <w:sz w:val="20"/>
              </w:rPr>
              <w:t>4–7 热条件</w:t>
              <w:br/>
              <w:t>Thermal conditions</w:t>
            </w:r>
          </w:p>
        </w:tc>
        <w:tc>
          <w:tcPr>
            <w:tcW w:type="dxa" w:w="7540"/>
          </w:tcPr>
          <w:p>
            <w:pPr>
              <w:spacing w:before="40" w:after="80" w:line="250" w:lineRule="auto"/>
            </w:pPr>
            <w:r>
              <w:rPr>
                <w:sz w:val="20"/>
              </w:rPr>
              <w:t>分别涵盖A5(1)／A5(2)、A5(3)、A5(4)、A5(6)，避免把所有影响笼统写成“散热”。</w:t>
              <w:br/>
              <w:t>Cover temperature, grouping, insulation and trench corrections individually.</w:t>
            </w:r>
          </w:p>
        </w:tc>
      </w:tr>
      <w:tr>
        <w:trPr>
          <w:cantSplit/>
        </w:trPr>
        <w:tc>
          <w:tcPr>
            <w:tcW w:type="dxa" w:w="2608"/>
          </w:tcPr>
          <w:p>
            <w:pPr>
              <w:spacing w:before="40" w:after="80" w:line="250" w:lineRule="auto"/>
            </w:pPr>
            <w:r>
              <w:rPr>
                <w:sz w:val="20"/>
              </w:rPr>
              <w:t>8 保护</w:t>
              <w:br/>
              <w:t>Protection</w:t>
            </w:r>
          </w:p>
        </w:tc>
        <w:tc>
          <w:tcPr>
            <w:tcW w:type="dxa" w:w="7540"/>
          </w:tcPr>
          <w:p>
            <w:pPr>
              <w:spacing w:before="40" w:after="80" w:line="250" w:lineRule="auto"/>
            </w:pPr>
            <w:r>
              <w:rPr>
                <w:sz w:val="20"/>
              </w:rPr>
              <w:t>覆盖A5(5)及PPT的In配合，并补足正常载流量以外的故障保护判断。</w:t>
              <w:br/>
              <w:t>Cover A5(5), device coordination and fault protection beyond normal current rating.</w:t>
            </w:r>
          </w:p>
        </w:tc>
      </w:tr>
      <w:tr>
        <w:trPr>
          <w:cantSplit/>
        </w:trPr>
        <w:tc>
          <w:tcPr>
            <w:tcW w:type="dxa" w:w="2608"/>
          </w:tcPr>
          <w:p>
            <w:pPr>
              <w:spacing w:before="40" w:after="80" w:line="250" w:lineRule="auto"/>
            </w:pPr>
            <w:r>
              <w:rPr>
                <w:sz w:val="20"/>
              </w:rPr>
              <w:t>9 压降</w:t>
              <w:br/>
              <w:t>Voltage drop</w:t>
            </w:r>
          </w:p>
        </w:tc>
        <w:tc>
          <w:tcPr>
            <w:tcW w:type="dxa" w:w="7540"/>
          </w:tcPr>
          <w:p>
            <w:pPr>
              <w:spacing w:before="40" w:after="80" w:line="250" w:lineRule="auto"/>
            </w:pPr>
            <w:r>
              <w:rPr>
                <w:sz w:val="20"/>
              </w:rPr>
              <w:t>对应A6(1)压降页及PPT S82–S83；说明线路长度、相制、排列和启动情况的影响。</w:t>
              <w:br/>
              <w:t>Use the voltage-drop page and S82–S83 to explain length, phase, formation and motor starting.</w:t>
            </w:r>
          </w:p>
        </w:tc>
      </w:tr>
      <w:tr>
        <w:trPr>
          <w:cantSplit/>
        </w:trPr>
        <w:tc>
          <w:tcPr>
            <w:tcW w:type="dxa" w:w="2608"/>
          </w:tcPr>
          <w:p>
            <w:pPr>
              <w:spacing w:before="40" w:after="80" w:line="250" w:lineRule="auto"/>
            </w:pPr>
            <w:r>
              <w:rPr>
                <w:sz w:val="20"/>
              </w:rPr>
              <w:t>10 工业条件</w:t>
              <w:br/>
              <w:t>Industrial service</w:t>
            </w:r>
          </w:p>
        </w:tc>
        <w:tc>
          <w:tcPr>
            <w:tcW w:type="dxa" w:w="7540"/>
          </w:tcPr>
          <w:p>
            <w:pPr>
              <w:spacing w:before="40" w:after="80" w:line="250" w:lineRule="auto"/>
            </w:pPr>
            <w:r>
              <w:rPr>
                <w:sz w:val="20"/>
              </w:rPr>
              <w:t>将外部影响具体化：油污、化学品、机械损伤、火灾及必要的供电连续性。</w:t>
              <w:br/>
              <w:t>Make external influences concrete through oil, chemicals, damage, fire and required continuity.</w:t>
            </w:r>
          </w:p>
        </w:tc>
      </w:tr>
      <w:tr>
        <w:trPr>
          <w:cantSplit/>
        </w:trPr>
        <w:tc>
          <w:tcPr>
            <w:tcW w:type="dxa" w:w="2608"/>
          </w:tcPr>
          <w:p>
            <w:pPr>
              <w:spacing w:before="40" w:after="80" w:line="250" w:lineRule="auto"/>
            </w:pPr>
            <w:r>
              <w:rPr>
                <w:sz w:val="20"/>
              </w:rPr>
              <w:t>11–12 经济与实施</w:t>
              <w:br/>
              <w:t>Economy and installation practicality</w:t>
            </w:r>
          </w:p>
        </w:tc>
        <w:tc>
          <w:tcPr>
            <w:tcW w:type="dxa" w:w="7540"/>
          </w:tcPr>
          <w:p>
            <w:pPr>
              <w:spacing w:before="40" w:after="80" w:line="250" w:lineRule="auto"/>
            </w:pPr>
            <w:r>
              <w:rPr>
                <w:sz w:val="20"/>
              </w:rPr>
              <w:t>保留PPT的能源效益，并考虑端接、维修及新增回路后重新核查。</w:t>
              <w:br/>
              <w:t>Retain energy efficiency and address terminals, maintenance and reassessment after expansion.</w:t>
            </w:r>
          </w:p>
        </w:tc>
      </w:tr>
    </w:tbl>
    <w:p>
      <w:pPr>
        <w:pStyle w:val="Heading2"/>
      </w:pPr>
      <w:r>
        <w:t>容易失分的写法 / Common weaknesses</w:t>
      </w:r>
    </w:p>
    <w:p>
      <w:r>
        <w:t>①只列名称，没有解释原因及影响。②把A6(1)套用到所有电缆。③把某个Method或间距优惠任意推广。④将不适用系数或同一热效应重复相乘。⑤只检查载流量，遗漏压降和损耗。⑥照抄20A示例作为Q2最终答案。⑦写成逐表介绍，缺少工业应用因素。</w:t>
      </w:r>
    </w:p>
    <w:p>
      <w:r>
        <w:t>Avoid: listing factors without causes or consequences; applying A6(1) to every cable; generalising Method or spacing concessions; multiplying inapplicable or duplicate factors; omitting voltage drop or losses; treating the 20A example as the Q2 answer; or describing tables without industrial application.</w:t>
      </w:r>
    </w:p>
    <w:p>
      <w:pPr>
        <w:pStyle w:val="Heading2"/>
      </w:pPr>
      <w:r>
        <w:t>抄写稿的使用范围 / Using the written answer</w:t>
      </w:r>
    </w:p>
    <w:p>
      <w:r>
        <w:t>另一份Word只有可直接写入答案的正文，没有上述审题说明、示例计算或分析提示。两份均保留中英对应，便于理解及选择作答语言；无需把本分析稿中的全部表注和数值另抄进正式答案。</w:t>
      </w:r>
    </w:p>
    <w:p>
      <w:r>
        <w:t>The companion Word contains only the answer text, without these interpretation notes, worked calculations or study guidance. Both are bilingual for understanding and choice of answer language. The detailed notes and numerical examples here need not all be copied into the formal answer.</w:t>
      </w:r>
    </w:p>
    <w:sectPr w:rsidR="00FC693F" w:rsidRPr="0006063C" w:rsidSect="00034616">
      <w:headerReference w:type="default" r:id="rId9"/>
      <w:footerReference w:type="default" r:id="rId10"/>
      <w:pgSz w:w="11906" w:h="16838"/>
      <w:pgMar w:top="765" w:right="879" w:bottom="765" w:left="879"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PIA5704 | Q2 | 答案分析 / Answer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eastAsia="Noto Sans CJK SC"/>
      <w:b/>
      <w:bCs/>
      <w:color w:val="17364D"/>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Noto Sans CJK SC"/>
      <w:b/>
      <w:bCs/>
      <w:color w:val="17364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eastAsia="Noto Sans CJK SC"/>
      <w:color w:val="17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Noto Sans CJK SC"/>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PIA5704 Q2 — Question interpretation and table analysis</dc:title>
  <dc:subject/>
  <dc:creator/>
  <cp:keywords/>
  <dc:description/>
  <cp:lastModifiedBy/>
  <cp:revision>1</cp:revision>
  <dcterms:created xsi:type="dcterms:W3CDTF">2013-12-23T23:15:00Z</dcterms:created>
  <dcterms:modified xsi:type="dcterms:W3CDTF">2013-12-23T23:15:00Z</dcterms:modified>
  <cp:category/>
</cp:coreProperties>
</file>