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Economic Efficiency — Theoretical Analysis</w:t>
      </w:r>
    </w:p>
    <w:p>
      <w:pPr>
        <w:pStyle w:val="Subtitle"/>
      </w:pPr>
      <w:r>
        <w:t>Member C | UK 2024 National Insurance Reductions</w:t>
      </w:r>
    </w:p>
    <w:p>
      <w:pPr>
        <w:pStyle w:val="Heading2"/>
      </w:pPr>
      <w:r>
        <w:t>3.1 Tax incentives and work decisions</w:t>
      </w:r>
    </w:p>
    <w:p>
      <w:r>
        <w:t>Marginal income tax and payroll taxes jointly determine the reward from additional earnings; a NICs reduction should therefore be evaluated through their combined marginal burden (PIA6302, n.d.-b, pp. 12–13). The UK employee main NICs rate fell from 12% to 10% on 6 January 2024 and to 8% on 6 April (HMRC, 2024a). With income tax held at 20%, an extra pound within the main NICs band leaves 68p, 70p and 72p respectively (Figure C1). The combined cuts increase marginal take-home pay by approximately 5.9%; the March cut alone increases it by 2.9%. These are incentive calculations, not employment estimates.</w:t>
      </w:r>
    </w:p>
    <w:p>
      <w:r>
        <w:t>Above the £50,270 upper earnings limit, the employee NICs rate remained 2% (HMRC, 2024c). A worker already above that limit gains relief on the lower band without a lower NICs rate on additional earnings. Lower average taxation therefore need not mean stronger marginal incentives.</w:t>
      </w:r>
    </w:p>
    <w:p>
      <w:r>
        <w:drawing>
          <wp:inline xmlns:a="http://schemas.openxmlformats.org/drawingml/2006/main" xmlns:pic="http://schemas.openxmlformats.org/drawingml/2006/picture">
            <wp:extent cx="6080760" cy="2216545"/>
            <wp:docPr id="1" name="Picture 1"/>
            <wp:cNvGraphicFramePr>
              <a:graphicFrameLocks noChangeAspect="1"/>
            </wp:cNvGraphicFramePr>
            <a:graphic>
              <a:graphicData uri="http://schemas.openxmlformats.org/drawingml/2006/picture">
                <pic:pic>
                  <pic:nvPicPr>
                    <pic:cNvPr id="0" name="figure1_retention.png"/>
                    <pic:cNvPicPr/>
                  </pic:nvPicPr>
                  <pic:blipFill>
                    <a:blip r:embed="rId11"/>
                    <a:stretch>
                      <a:fillRect/>
                    </a:stretch>
                  </pic:blipFill>
                  <pic:spPr>
                    <a:xfrm>
                      <a:off x="0" y="0"/>
                      <a:ext cx="6080760" cy="2216545"/>
                    </a:xfrm>
                    <a:prstGeom prst="rect"/>
                  </pic:spPr>
                </pic:pic>
              </a:graphicData>
            </a:graphic>
          </wp:inline>
        </w:drawing>
      </w:r>
    </w:p>
    <w:p>
      <w:pPr>
        <w:pStyle w:val="Caption"/>
      </w:pPr>
      <w:r>
        <w:t>Figure C1. Marginal take-home pay under the employee NICs main rates.</w:t>
      </w:r>
    </w:p>
    <w:p>
      <w:pPr>
        <w:pStyle w:val="Caption"/>
      </w:pPr>
      <w:r>
        <w:t>Source: Author’s calculations from HMRC (2024a–c), applying the distinction between marginal income tax and payroll taxes (PIA6302, n.d.-b, pp. 12–13): 100p × (1 − 20% income tax − NICs rate). Assumes a standard working-age employee in England, Wales or Northern Ireland, fixed gross wages and additional earnings entirely within the main NICs band. Excludes benefit withdrawal, student loans and other deductions. This is a statutory calculation, not a measured behavioural effect or the full employer–employee tax wedge.</w:t>
      </w:r>
    </w:p>
    <w:p>
      <w:r>
        <w:br w:type="page"/>
      </w:r>
    </w:p>
    <w:p>
      <w:pPr>
        <w:pStyle w:val="Heading1"/>
      </w:pPr>
      <w:r>
        <w:t>3.2 Substitution, income and participation effects</w:t>
      </w:r>
    </w:p>
    <w:p>
      <w:r>
        <w:t>Indifference curves and budget constraints explain how workers allocate time between employment and leisure (PIA6302, n.d.-a, pp. 43–45, 54–55). A higher net wage raises the opportunity cost of leisure, creating a substitution effect towards work. If leisure is normal, higher disposable income creates an opposing income effect. Figure C2 separates the compensated movement E0→Ec from the income movement Ec→E1. Its net increase in work is illustrative; theory alone does not determine the overall hours response (Meghir and Phillips, 2010).</w:t>
      </w:r>
    </w:p>
    <w:p>
      <w:r>
        <w:t>Participation (the extensive margin) must also be distinguished from hours conditional on employment (the intensive margin). Labour-supply elasticity is central to assessing the efficiency effects of taxation (PIA6302, n.d.-c, p. 19). The OBR accordingly uses group-specific behavioural assumptions and acknowledges their uncertainty (OBR, 2024a, paragraphs 4–15). Fixed hours, caring commitments and benefit withdrawal may constrain responses. The expected efficiency gain consequently depends on who can adjust behaviour, rather than on an assumption that all recipients work longer.</w:t>
      </w:r>
    </w:p>
    <w:p>
      <w:r>
        <w:drawing>
          <wp:inline xmlns:a="http://schemas.openxmlformats.org/drawingml/2006/main" xmlns:pic="http://schemas.openxmlformats.org/drawingml/2006/picture">
            <wp:extent cx="6080760" cy="2756027"/>
            <wp:docPr id="2" name="Picture 2"/>
            <wp:cNvGraphicFramePr>
              <a:graphicFrameLocks noChangeAspect="1"/>
            </wp:cNvGraphicFramePr>
            <a:graphic>
              <a:graphicData uri="http://schemas.openxmlformats.org/drawingml/2006/picture">
                <pic:pic>
                  <pic:nvPicPr>
                    <pic:cNvPr id="0" name="hicksian.png"/>
                    <pic:cNvPicPr/>
                  </pic:nvPicPr>
                  <pic:blipFill>
                    <a:blip r:embed="rId12"/>
                    <a:stretch>
                      <a:fillRect/>
                    </a:stretch>
                  </pic:blipFill>
                  <pic:spPr>
                    <a:xfrm>
                      <a:off x="0" y="0"/>
                      <a:ext cx="6080760" cy="2756027"/>
                    </a:xfrm>
                    <a:prstGeom prst="rect"/>
                  </pic:spPr>
                </pic:pic>
              </a:graphicData>
            </a:graphic>
          </wp:inline>
        </w:drawing>
      </w:r>
    </w:p>
    <w:p>
      <w:pPr>
        <w:pStyle w:val="Caption"/>
      </w:pPr>
      <w:r>
        <w:t>Figure C2. Substitution and income effects: theoretical illustration, not UK empirical data.</w:t>
      </w:r>
    </w:p>
    <w:p>
      <w:pPr>
        <w:pStyle w:val="Caption"/>
      </w:pPr>
      <w:r>
        <w:t>Source: Author’s illustration based on Meghir and Phillips (2010). E0→Ec shows the substitution effect; Ec→E1 shows the income effect.</w:t>
      </w:r>
    </w:p>
    <w:p>
      <w:r>
        <w:br w:type="page"/>
      </w:r>
    </w:p>
    <w:p>
      <w:pPr>
        <w:pStyle w:val="Heading1"/>
      </w:pPr>
      <w:r>
        <w:t>3.3 Laffer curve and the fiscal limit</w:t>
      </w:r>
    </w:p>
    <w:p>
      <w:r>
        <w:t>Revenue maximisation and optimal taxation are distinct objectives. With R = tB(t), reducing tax rates can expand the taxable base by strengthening work incentives. Figure C3 illustrates how this behavioural response influences revenue, while the optimal tax rate also reflects wider welfare objectives (Hemming and Kay, 1980). The OBR projected that the March NICs reductions would increase labour supply by 98,000 full-time equivalents and recover approximately 20% of their static fiscal cost through dynamic behavioural effects (OBR, 2024b). These projections support the policy’s incentive rationale and indicate that additional economic activity can partly offset the initial revenue loss.</w:t>
      </w:r>
    </w:p>
    <w:p>
      <w:r>
        <w:t>The overall efficiency assessment balances these incentive gains against the opportunity cost of forgone revenue. Sustainable financing helps preserve resources for public services and investment, allowing improvements in work incentives to contribute to wider social welfare. The NICs reductions therefore offer a credible approach to reducing distortions in labour taxation, with their overall benefits depending on the strength of behavioural responses and the government’s financing choices.</w:t>
      </w:r>
    </w:p>
    <w:p>
      <w:r>
        <w:drawing>
          <wp:inline xmlns:a="http://schemas.openxmlformats.org/drawingml/2006/main" xmlns:pic="http://schemas.openxmlformats.org/drawingml/2006/picture">
            <wp:extent cx="6080760" cy="2181174"/>
            <wp:docPr id="3" name="Picture 3"/>
            <wp:cNvGraphicFramePr>
              <a:graphicFrameLocks noChangeAspect="1"/>
            </wp:cNvGraphicFramePr>
            <a:graphic>
              <a:graphicData uri="http://schemas.openxmlformats.org/drawingml/2006/picture">
                <pic:pic>
                  <pic:nvPicPr>
                    <pic:cNvPr id="0" name="figure2_laffer.png"/>
                    <pic:cNvPicPr/>
                  </pic:nvPicPr>
                  <pic:blipFill>
                    <a:blip r:embed="rId13"/>
                    <a:stretch>
                      <a:fillRect/>
                    </a:stretch>
                  </pic:blipFill>
                  <pic:spPr>
                    <a:xfrm>
                      <a:off x="0" y="0"/>
                      <a:ext cx="6080760" cy="2181174"/>
                    </a:xfrm>
                    <a:prstGeom prst="rect"/>
                  </pic:spPr>
                </pic:pic>
              </a:graphicData>
            </a:graphic>
          </wp:inline>
        </w:drawing>
      </w:r>
    </w:p>
    <w:p>
      <w:pPr>
        <w:pStyle w:val="Caption"/>
      </w:pPr>
      <w:r>
        <w:t>Figure C3. The Laffer curve: tax rates, the taxable base and revenue.</w:t>
      </w:r>
    </w:p>
    <w:p>
      <w:pPr>
        <w:pStyle w:val="Caption"/>
      </w:pPr>
      <w:r>
        <w:t>Source: Author’s theoretical illustration based on Hemming and Kay (1980). The curve shows how tax rates and behavioural changes in the taxable base jointly determine revenue; t* marks the revenue-maximising rate.</w:t>
      </w:r>
    </w:p>
    <w:p>
      <w:r>
        <w:br w:type="page"/>
      </w:r>
    </w:p>
    <w:p>
      <w:pPr>
        <w:pStyle w:val="Heading1"/>
      </w:pPr>
      <w:r>
        <w:t>References</w:t>
      </w:r>
    </w:p>
    <w:p>
      <w:pPr>
        <w:pStyle w:val="Caption"/>
      </w:pPr>
      <w:r>
        <w:t>Author–date references. Original source links and locators are provided for checking; forecasts retain their original policy and time horizon. For course materials, page references identify PDF page positions, counted from the first page; n.d. indicates that no publication date is established. HMRC and OBR provide the UK policy evidence.</w:t>
      </w:r>
    </w:p>
    <w:p>
      <w:pPr>
        <w:keepNext/>
      </w:pPr>
      <w:r>
        <w:t>HM Revenue &amp; Customs [HMRC] (2024a). Reduction to the main rates of primary Class 1 and Class 4 National Insurance contributions. 7 March.</w:t>
      </w:r>
    </w:p>
    <w:p>
      <w:hyperlink r:id="rId14">
        <w:r>
          <w:t>Open original source</w:t>
        </w:r>
      </w:hyperlink>
    </w:p>
    <w:p>
      <w:pPr>
        <w:pStyle w:val="Caption"/>
      </w:pPr>
      <w:r>
        <w:t>Locators: Background to the measure; Detailed proposal; Exchequer impact. The costings are forecasts, not realised revenue outcomes.</w:t>
      </w:r>
    </w:p>
    <w:p>
      <w:pPr>
        <w:keepNext/>
      </w:pPr>
      <w:r>
        <w:t>HM Revenue &amp; Customs [HMRC] (2024b). Annex A: rates and allowances. Spring Budget 2024: overview of tax legislation and rates. 6 March.</w:t>
      </w:r>
    </w:p>
    <w:p>
      <w:hyperlink r:id="rId15">
        <w:r>
          <w:t>Open original source</w:t>
        </w:r>
      </w:hyperlink>
    </w:p>
    <w:p>
      <w:pPr>
        <w:pStyle w:val="Caption"/>
      </w:pPr>
      <w:r>
        <w:t>Locators: Income Tax rates; Employee’s (primary) Class 1 contribution rates; NICs rates. Figure C1 uses the historical rates, not current-year rates.</w:t>
      </w:r>
    </w:p>
    <w:p>
      <w:pPr>
        <w:keepNext/>
      </w:pPr>
      <w:r>
        <w:t>HM Revenue &amp; Customs [HMRC] (2024c). Rates and thresholds for employers 2024 to 2025.</w:t>
      </w:r>
    </w:p>
    <w:p>
      <w:hyperlink r:id="rId16">
        <w:r>
          <w:t>Open original source</w:t>
        </w:r>
      </w:hyperlink>
    </w:p>
    <w:p>
      <w:pPr>
        <w:pStyle w:val="Caption"/>
      </w:pPr>
      <w:r>
        <w:t>Locators: Class 1 National Insurance thresholds (annual upper earnings limit £50,270); employee contribution rates (8% / 2%).</w:t>
      </w:r>
    </w:p>
    <w:p>
      <w:pPr>
        <w:keepNext/>
      </w:pPr>
      <w:r>
        <w:t>Office for Budget Responsibility [OBR] (2024a). The labour supply effects of the Autumn 2023 National Insurance Contributions cut. 8 February.</w:t>
      </w:r>
    </w:p>
    <w:p>
      <w:hyperlink r:id="rId17">
        <w:r>
          <w:t>Open original source</w:t>
        </w:r>
      </w:hyperlink>
    </w:p>
    <w:p>
      <w:pPr>
        <w:pStyle w:val="Caption"/>
      </w:pPr>
      <w:r>
        <w:t>Locators: paragraphs 4–8 (mechanisms); 9–10 (elasticity uncertainty); 11–15 (model and demand assumption). This methodological note evaluates the November announcement; it is not the March forecast.</w:t>
      </w:r>
    </w:p>
    <w:p>
      <w:pPr>
        <w:keepNext/>
      </w:pPr>
      <w:r>
        <w:t>Meghir, C. and Phillips, D. (2010). “Labour supply and taxes.” In Dimensions of Tax Design: The Mirrlees Review. Oxford University Press.</w:t>
      </w:r>
    </w:p>
    <w:p>
      <w:hyperlink r:id="rId18">
        <w:r>
          <w:t>Open original source</w:t>
        </w:r>
      </w:hyperlink>
    </w:p>
    <w:p>
      <w:pPr>
        <w:pStyle w:val="Caption"/>
      </w:pPr>
      <w:r>
        <w:t>Locator: labour-supply mechanisms, income and substitution effects and the interpretation of empirical responses.</w:t>
      </w:r>
    </w:p>
    <w:p>
      <w:pPr>
        <w:keepNext/>
      </w:pPr>
      <w:r>
        <w:t>Hemming, R. and Kay, J. A. (1980). “The Laffer curve.” Fiscal Studies, 1(2), pp. 83–90. DOI: 10.1111/j.1475-5890.1980.tb00554.x.</w:t>
      </w:r>
    </w:p>
    <w:p>
      <w:hyperlink r:id="rId19">
        <w:r>
          <w:t>Open original source</w:t>
        </w:r>
      </w:hyperlink>
    </w:p>
    <w:p>
      <w:pPr>
        <w:pStyle w:val="Caption"/>
      </w:pPr>
      <w:r>
        <w:t>Used for the conceptual revenue argument, not an estimate of UK NICs in 2024.</w:t>
      </w:r>
    </w:p>
    <w:p>
      <w:pPr>
        <w:keepNext/>
      </w:pPr>
      <w:r>
        <w:t>Office for Budget Responsibility [OBR] (2024b). Economic and fiscal outlook – March 2024. CP 1027. 6 March.</w:t>
      </w:r>
    </w:p>
    <w:p>
      <w:hyperlink r:id="rId20">
        <w:r>
          <w:t>Open original source</w:t>
        </w:r>
      </w:hyperlink>
    </w:p>
    <w:p>
      <w:pPr>
        <w:pStyle w:val="Caption"/>
      </w:pPr>
      <w:r>
        <w:t>Locators: paragraphs 3.7–3.10, especially 3.9 (98,000 FTE) and 3.10 (approximately 20% static-cost offset); Box 3.2. Contemporary forecasts only.</w:t>
      </w:r>
    </w:p>
    <w:p>
      <w:pPr>
        <w:keepNext/>
      </w:pPr>
      <w:r>
        <w:t>PIA6302 course materials (n.d.-a). Fiscal Spending: Social Welfare versus Economic Investment [lecture slides].</w:t>
      </w:r>
    </w:p>
    <w:p>
      <w:r>
        <w:t>Source: supplied course materials; relevant PDF pages are listed below.</w:t>
      </w:r>
    </w:p>
    <w:p>
      <w:pPr>
        <w:pStyle w:val="Caption"/>
      </w:pPr>
      <w:r>
        <w:t>Relevant PDF pages: 43–45 (indifference curves and marginal rate of substitution); 54–55 (efficiency–equity trade-off under the fiscal budget constraint). Applied here to work decisions and welfare comparisons.</w:t>
      </w:r>
    </w:p>
    <w:p>
      <w:pPr>
        <w:keepNext/>
      </w:pPr>
      <w:r>
        <w:t>PIA6302 course materials (n.d.-b). Tax Structure [lecture slides].</w:t>
      </w:r>
    </w:p>
    <w:p>
      <w:r>
        <w:t>Source: supplied course materials; relevant PDF pages are listed below.</w:t>
      </w:r>
    </w:p>
    <w:p>
      <w:pPr>
        <w:pStyle w:val="Caption"/>
      </w:pPr>
      <w:r>
        <w:t>Relevant PDF pages: 12 (marginal tax rates), 13 (payroll taxes), 25 (multiple components of tax burden). These are tax-structure concepts illustrated with US examples, not sources for UK rates.</w:t>
      </w:r>
    </w:p>
    <w:p>
      <w:pPr>
        <w:keepNext/>
      </w:pPr>
      <w:r>
        <w:t>PIA6302 course materials (n.d.-c). Tax Strategies [lecture slides].</w:t>
      </w:r>
    </w:p>
    <w:p>
      <w:r>
        <w:t>Source: supplied course materials; relevant PDF pages are listed below.</w:t>
      </w:r>
    </w:p>
    <w:p>
      <w:pPr>
        <w:pStyle w:val="Caption"/>
      </w:pPr>
      <w:r>
        <w:t>Relevant PDF pages: 10–11 (strategy, efficiency and revenue adequacy); 18 (Laffer curve and optimal versus revenue-maximising rates); 19 (labour-supply elasticity and optimal taxation). Printed slide numbers can differ from PDF page positions.</w:t>
      </w:r>
    </w:p>
    <w:p>
      <w:pPr>
        <w:keepNext/>
      </w:pPr>
      <w:r>
        <w:t>PIA6302 course materials (n.d.-d). Public Investment [lecture slides].</w:t>
      </w:r>
    </w:p>
    <w:p>
      <w:r>
        <w:t>Source: supplied course materials; relevant PDF pages are listed below.</w:t>
      </w:r>
    </w:p>
    <w:p>
      <w:pPr>
        <w:pStyle w:val="Caption"/>
      </w:pPr>
      <w:r>
        <w:t>Relevant PDF pages: 37 (investment income and labour–leisure distortions); 40 (one-off asset disposal versus recurring financing). These are conceptual comparisons, not estimates of available UK funding.</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Member 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PIA6302 | Member C | Economic Efficiency — Theoretical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gov.uk/government/publications/changes-to-national-insurance-contributions-from-6-april-2024/reduction-to-the-main-rates-of-primary-class-1-and-class-4-national-insurance-contributions" TargetMode="External"/><Relationship Id="rId15" Type="http://schemas.openxmlformats.org/officeDocument/2006/relationships/hyperlink" Target="https://www.gov.uk/government/publications/spring-budget-2024-overview-of-tax-legislation-and-rates-ootlar/annex-a-rates-and-allowances" TargetMode="External"/><Relationship Id="rId16" Type="http://schemas.openxmlformats.org/officeDocument/2006/relationships/hyperlink" Target="https://www.gov.uk/guidance/rates-and-thresholds-for-employers-2024-to-2025" TargetMode="External"/><Relationship Id="rId17" Type="http://schemas.openxmlformats.org/officeDocument/2006/relationships/hyperlink" Target="https://obr.uk/docs/dlm_uploads/NICS-Cut-Impact-on-Labour-Supply-Note.pdf" TargetMode="External"/><Relationship Id="rId18" Type="http://schemas.openxmlformats.org/officeDocument/2006/relationships/hyperlink" Target="https://ifs.org.uk/books/labour-supply-and-taxes-0" TargetMode="External"/><Relationship Id="rId19" Type="http://schemas.openxmlformats.org/officeDocument/2006/relationships/hyperlink" Target="https://ifs.org.uk/journals/laffer-curve" TargetMode="External"/><Relationship Id="rId20" Type="http://schemas.openxmlformats.org/officeDocument/2006/relationships/hyperlink" Target="https://obr.uk/efo/economic-and-fiscal-outlook-march-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