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100"/>
      </w:pPr>
      <w:r>
        <w:t>PIA6302 · GROUP PAPER</w:t>
      </w:r>
    </w:p>
    <w:p>
      <w:pPr>
        <w:pStyle w:val="Title"/>
      </w:pPr>
      <w:r>
        <w:t>The Politics of Tax Cuts</w:t>
      </w:r>
    </w:p>
    <w:p>
      <w:pPr>
        <w:pStyle w:val="Subtitle"/>
      </w:pPr>
      <w:r>
        <w:t>Evaluating the UK's 2024 National Insurance Reductions</w:t>
      </w:r>
    </w:p>
    <w:p>
      <w:r>
        <w:t>Economic efficiency · Distributional equity · Political economy · Fiscal sustainability</w:t>
      </w:r>
    </w:p>
    <w:p>
      <w:pPr>
        <w:pStyle w:val="Heading2"/>
      </w:pPr>
      <w:r>
        <w:t>Research question</w:t>
      </w:r>
    </w:p>
    <w:p>
      <w:r>
        <w:t>How did the UK's 2024 National Insurance reductions balance work incentives, distributional equity, fiscal costs, and political considerations?</w:t>
      </w:r>
    </w:p>
    <w:p>
      <w:r>
        <w:t>Prepared as a complete group-paper draft based on the supplied topic and allocation document. Main narrative: approximately 3,800 words, excluding headings, tables, references and appendices.</w:t>
      </w:r>
    </w:p>
    <w:p>
      <w:pPr>
        <w:pStyle w:val="Caption"/>
      </w:pPr>
      <w:r>
        <w:t>Evidence scope: November 2023 and March 2024 announcements; January and April 2024 implementation; contemporary forecasts retained through 2028–29. Sources checked on 25 October 2026.</w:t>
      </w:r>
    </w:p>
    <w:p>
      <w:r>
        <w:br w:type="page"/>
      </w:r>
    </w:p>
    <w:p>
      <w:pPr>
        <w:pStyle w:val="Heading1"/>
      </w:pPr>
      <w:r>
        <w:t>Contents</w:t>
      </w:r>
    </w:p>
    <w:p>
      <w:r>
        <w:t>1. Introduction</w:t>
      </w:r>
    </w:p>
    <w:p>
      <w:r>
        <w:t>2. Policy Background</w:t>
      </w:r>
    </w:p>
    <w:p>
      <w:r>
        <w:t>3. Economic Efficiency</w:t>
      </w:r>
    </w:p>
    <w:p>
      <w:r>
        <w:t>4. Distributional Equity</w:t>
      </w:r>
    </w:p>
    <w:p>
      <w:r>
        <w:t>5. Political Economy and Fiscal Sustainability</w:t>
      </w:r>
    </w:p>
    <w:p>
      <w:r>
        <w:t>6. Discussion and Conclusion</w:t>
      </w:r>
    </w:p>
    <w:p>
      <w:r>
        <w:t>References</w:t>
      </w:r>
    </w:p>
    <w:p>
      <w:r>
        <w:t>Appendix A. Evidence audit</w:t>
      </w:r>
    </w:p>
    <w:p>
      <w:r>
        <w:t>Appendix B. Group allocation and use notes</w:t>
      </w:r>
    </w:p>
    <w:p>
      <w:pPr>
        <w:pStyle w:val="Heading2"/>
      </w:pPr>
      <w:r>
        <w:t>Tables</w:t>
      </w:r>
    </w:p>
    <w:p>
      <w:r>
        <w:t>1. Policy sequence and the correct comparison</w:t>
      </w:r>
    </w:p>
    <w:p>
      <w:r>
        <w:t>2. Annualised employee gains at fixed earnings and thresholds</w:t>
      </w:r>
    </w:p>
    <w:p>
      <w:r>
        <w:t>3. Direct Exchequer cost of the March 2024 NICs reductions</w:t>
      </w:r>
    </w:p>
    <w:p>
      <w:pPr>
        <w:pStyle w:val="Heading2"/>
      </w:pPr>
      <w:r>
        <w:t>Reading note</w:t>
      </w:r>
    </w:p>
    <w:p>
      <w:r>
        <w:t>Policy facts, contemporaneous forecasts, independent assessments and illustrative calculations are identified separately. No forecast is presented as a realised causal outcome. Reference links and source locators support verification.</w:t>
      </w:r>
    </w:p>
    <w:p>
      <w:r>
        <w:br w:type="page"/>
      </w:r>
    </w:p>
    <w:p>
      <w:pPr>
        <w:pStyle w:val="Heading1"/>
      </w:pPr>
      <w:r>
        <w:t>1. Introduction</w:t>
      </w:r>
    </w:p>
    <w:p>
      <w:r>
        <w:t>Tax reductions pose a central problem in public budgeting: a policy can improve incentives and raise disposable income while weakening revenue adequacy. The United Kingdom's 2024 National Insurance contributions (NICs) reductions provide a useful case because they combined a visible reduction in a tax on work with less visible increases in tax liabilities generated by frozen thresholds. Evaluating only the headline rate would therefore give an incomplete account of the government's choices.</w:t>
      </w:r>
    </w:p>
    <w:p>
      <w:r>
        <w:t>This paper asks: How did the UK's 2024 National Insurance reductions balance work incentives, distributional equity, fiscal costs, and political considerations? It argues that the reductions had a defensible incentive rationale, but offered uneven relief and consumed resources within a fragile fiscal framework. Their political attraction was consistent with their visibility and concentration on workers, although the available documents cannot establish ministers' private motivations.</w:t>
      </w:r>
    </w:p>
    <w:p>
      <w:r>
        <w:t>The analysis applies four criteria: economic efficiency, vertical and horizontal equity, revenue adequacy, and political feasibility. Efficiency concerns behavioural responses rather than simply the amount of money returned to taxpayers. Equity concerns both who receives relief and which comparison is used. Fiscal sustainability concerns the credibility of future funding, not merely compliance with a rule in one forecast year. Political feasibility concerns the presentation and implementability of reform.</w:t>
      </w:r>
    </w:p>
    <w:p>
      <w:r>
        <w:t>The method combines policy and document analysis with transparent calculations using published tax parameters. HMRC documents establish policy design; the Office for Budget Responsibility (OBR) supplies contemporaneous forecasts; Institute for Fiscal Studies (IFS) analysis provides an independent comparison of personal tax changes. Parliamentary sources establish legislative and electoral context. These sources answer different questions and are not treated as interchangeable evidence.</w:t>
      </w:r>
    </w:p>
    <w:p>
      <w:r>
        <w:t>The paper evaluates the choices announced in November 2023 and March 2024 and implemented in January and April 2024. Forecasts retain their original 2028–29 horizon. This is an assessment of policy design and expected consequences, rather than a causal evaluation of subsequent employment or growth. Later budgets are outside its scope. The remaining sections explain the policy, assess efficiency and equity, examine politics and financing, and develop an integrated conclusion.</w:t>
      </w:r>
    </w:p>
    <w:p>
      <w:pPr>
        <w:pStyle w:val="Heading1"/>
      </w:pPr>
      <w:r>
        <w:t>2. Policy Background</w:t>
      </w:r>
    </w:p>
    <w:p>
      <w:r>
        <w:t>NICs are charged on employment earnings and self-employed profits, with separate employer contributions. Unlike income tax, they generally exclude rental income, savings income and pensions. Employee liabilities are assessed by pay period, so annual illustrations require an assumption of stable earnings. These institutional features make NICs a targeted instrument for reducing the taxation of earnings, while creating differences between people with similar total resources but different income sources (IFS, n.d.).</w:t>
      </w:r>
    </w:p>
    <w:p>
      <w:r>
        <w:t>The first employee reduction, announced at Autumn Statement 2023, lowered the main Class 1 rate from 12% to 10% on 6 January 2024. That statement also legislated a Class 4 reduction from 9% to 8% from April and removed compulsory Class 2 payments for the relevant self-employed population, while preserving access to contributory benefits under the stated conditions (HMRC, 2023, ‘General description of the measure’).</w:t>
      </w:r>
    </w:p>
    <w:p>
      <w:r>
        <w:t>Spring Budget 2024 announced a further two percentage point reduction in each main rate. From 6 April, the employee rate became 8%. The final self-employed Class 4 rate became 6%, compared with 9% before the two announcements. The November and March self-employed changes took effect together; there was no intervening tax year with the planned 8% main Class 4 rate. The 2024 legislation received Royal Assent on 20 March (HMRC, 2024; National Insurance Contributions (Reduction in Rates) Act 2024).</w:t>
      </w:r>
    </w:p>
    <w:p>
      <w:pPr>
        <w:pStyle w:val="Caption"/>
      </w:pPr>
      <w:r>
        <w:t>Table 1. Policy sequence and the correct comparison</w:t>
      </w:r>
    </w:p>
    <w:tbl>
      <w:tblPr>
        <w:tblStyle w:val="LightShading-Accent1"/>
        <w:tblW w:type="auto" w:w="0"/>
        <w:jc w:val="center"/>
        <w:tblLook w:firstColumn="1" w:firstRow="1" w:lastColumn="0" w:lastRow="0" w:noHBand="0" w:noVBand="1" w:val="04A0"/>
      </w:tblPr>
      <w:tblGrid>
        <w:gridCol w:w="3154"/>
        <w:gridCol w:w="3154"/>
        <w:gridCol w:w="3154"/>
      </w:tblGrid>
      <w:tr>
        <w:trPr>
          <w:tblHeader/>
          <w:cantSplit/>
        </w:trPr>
        <w:tc>
          <w:tcPr>
            <w:tcW w:type="dxa" w:w="3154"/>
            <w:vAlign w:val="center"/>
          </w:tcPr>
          <w:p>
            <w:pPr>
              <w:spacing w:line="252" w:lineRule="auto" w:after="80"/>
            </w:pPr>
            <w:r>
              <w:rPr>
                <w:sz w:val="18"/>
              </w:rPr>
              <w:t>Date</w:t>
            </w:r>
          </w:p>
        </w:tc>
        <w:tc>
          <w:tcPr>
            <w:tcW w:type="dxa" w:w="3154"/>
            <w:vAlign w:val="center"/>
          </w:tcPr>
          <w:p>
            <w:pPr>
              <w:spacing w:line="252" w:lineRule="auto" w:after="80"/>
            </w:pPr>
            <w:r>
              <w:rPr>
                <w:sz w:val="18"/>
              </w:rPr>
              <w:t>Policy event</w:t>
            </w:r>
          </w:p>
        </w:tc>
        <w:tc>
          <w:tcPr>
            <w:tcW w:type="dxa" w:w="3154"/>
            <w:vAlign w:val="center"/>
          </w:tcPr>
          <w:p>
            <w:pPr>
              <w:spacing w:line="252" w:lineRule="auto" w:after="80"/>
            </w:pPr>
            <w:r>
              <w:rPr>
                <w:sz w:val="18"/>
              </w:rPr>
              <w:t>Interpretation</w:t>
            </w:r>
          </w:p>
        </w:tc>
      </w:tr>
      <w:tr>
        <w:trPr>
          <w:cantSplit/>
        </w:trPr>
        <w:tc>
          <w:tcPr>
            <w:tcW w:type="dxa" w:w="3154"/>
            <w:vAlign w:val="center"/>
          </w:tcPr>
          <w:p>
            <w:pPr>
              <w:spacing w:line="252" w:lineRule="auto" w:after="80"/>
            </w:pPr>
            <w:r>
              <w:rPr>
                <w:sz w:val="18"/>
              </w:rPr>
              <w:t>22 November 2023</w:t>
            </w:r>
          </w:p>
        </w:tc>
        <w:tc>
          <w:tcPr>
            <w:tcW w:type="dxa" w:w="3154"/>
            <w:vAlign w:val="center"/>
          </w:tcPr>
          <w:p>
            <w:pPr>
              <w:spacing w:line="252" w:lineRule="auto" w:after="80"/>
            </w:pPr>
            <w:r>
              <w:rPr>
                <w:sz w:val="18"/>
              </w:rPr>
              <w:t>Autumn Statement announces initial reductions</w:t>
            </w:r>
          </w:p>
        </w:tc>
        <w:tc>
          <w:tcPr>
            <w:tcW w:type="dxa" w:w="3154"/>
            <w:vAlign w:val="center"/>
          </w:tcPr>
          <w:p>
            <w:pPr>
              <w:spacing w:line="252" w:lineRule="auto" w:after="80"/>
            </w:pPr>
            <w:r>
              <w:rPr>
                <w:sz w:val="18"/>
              </w:rPr>
              <w:t>First announcement; employee implementation follows in January</w:t>
            </w:r>
          </w:p>
        </w:tc>
      </w:tr>
      <w:tr>
        <w:trPr>
          <w:cantSplit/>
        </w:trPr>
        <w:tc>
          <w:tcPr>
            <w:tcW w:type="dxa" w:w="3154"/>
            <w:vAlign w:val="center"/>
          </w:tcPr>
          <w:p>
            <w:pPr>
              <w:spacing w:line="252" w:lineRule="auto" w:after="80"/>
            </w:pPr>
            <w:r>
              <w:rPr>
                <w:sz w:val="18"/>
              </w:rPr>
              <w:t>6 January 2024</w:t>
            </w:r>
          </w:p>
        </w:tc>
        <w:tc>
          <w:tcPr>
            <w:tcW w:type="dxa" w:w="3154"/>
            <w:vAlign w:val="center"/>
          </w:tcPr>
          <w:p>
            <w:pPr>
              <w:spacing w:line="252" w:lineRule="auto" w:after="80"/>
            </w:pPr>
            <w:r>
              <w:rPr>
                <w:sz w:val="18"/>
              </w:rPr>
              <w:t>Employee main rate: 12% to 10%</w:t>
            </w:r>
          </w:p>
        </w:tc>
        <w:tc>
          <w:tcPr>
            <w:tcW w:type="dxa" w:w="3154"/>
            <w:vAlign w:val="center"/>
          </w:tcPr>
          <w:p>
            <w:pPr>
              <w:spacing w:line="252" w:lineRule="auto" w:after="80"/>
            </w:pPr>
            <w:r>
              <w:rPr>
                <w:sz w:val="18"/>
              </w:rPr>
              <w:t>Change during tax year 2023–24</w:t>
            </w:r>
          </w:p>
        </w:tc>
      </w:tr>
      <w:tr>
        <w:trPr>
          <w:cantSplit/>
        </w:trPr>
        <w:tc>
          <w:tcPr>
            <w:tcW w:type="dxa" w:w="3154"/>
            <w:vAlign w:val="center"/>
          </w:tcPr>
          <w:p>
            <w:pPr>
              <w:spacing w:line="252" w:lineRule="auto" w:after="80"/>
            </w:pPr>
            <w:r>
              <w:rPr>
                <w:sz w:val="18"/>
              </w:rPr>
              <w:t>6 March 2024</w:t>
            </w:r>
          </w:p>
        </w:tc>
        <w:tc>
          <w:tcPr>
            <w:tcW w:type="dxa" w:w="3154"/>
            <w:vAlign w:val="center"/>
          </w:tcPr>
          <w:p>
            <w:pPr>
              <w:spacing w:line="252" w:lineRule="auto" w:after="80"/>
            </w:pPr>
            <w:r>
              <w:rPr>
                <w:sz w:val="18"/>
              </w:rPr>
              <w:t>Spring Budget announces additional reductions</w:t>
            </w:r>
          </w:p>
        </w:tc>
        <w:tc>
          <w:tcPr>
            <w:tcW w:type="dxa" w:w="3154"/>
            <w:vAlign w:val="center"/>
          </w:tcPr>
          <w:p>
            <w:pPr>
              <w:spacing w:line="252" w:lineRule="auto" w:after="80"/>
            </w:pPr>
            <w:r>
              <w:rPr>
                <w:sz w:val="18"/>
              </w:rPr>
              <w:t>Incremental policy is a further two percentage points</w:t>
            </w:r>
          </w:p>
        </w:tc>
      </w:tr>
      <w:tr>
        <w:trPr>
          <w:cantSplit/>
        </w:trPr>
        <w:tc>
          <w:tcPr>
            <w:tcW w:type="dxa" w:w="3154"/>
            <w:vAlign w:val="center"/>
          </w:tcPr>
          <w:p>
            <w:pPr>
              <w:spacing w:line="252" w:lineRule="auto" w:after="80"/>
            </w:pPr>
            <w:r>
              <w:rPr>
                <w:sz w:val="18"/>
              </w:rPr>
              <w:t>6 April 2024</w:t>
            </w:r>
          </w:p>
        </w:tc>
        <w:tc>
          <w:tcPr>
            <w:tcW w:type="dxa" w:w="3154"/>
            <w:vAlign w:val="center"/>
          </w:tcPr>
          <w:p>
            <w:pPr>
              <w:spacing w:line="252" w:lineRule="auto" w:after="80"/>
            </w:pPr>
            <w:r>
              <w:rPr>
                <w:sz w:val="18"/>
              </w:rPr>
              <w:t>Employee main rate: 10% to 8%; Class 4 final rate: 6%</w:t>
            </w:r>
          </w:p>
        </w:tc>
        <w:tc>
          <w:tcPr>
            <w:tcW w:type="dxa" w:w="3154"/>
            <w:vAlign w:val="center"/>
          </w:tcPr>
          <w:p>
            <w:pPr>
              <w:spacing w:line="252" w:lineRule="auto" w:after="80"/>
            </w:pPr>
            <w:r>
              <w:rPr>
                <w:sz w:val="18"/>
              </w:rPr>
              <w:t>Combined employee reduction is four points; combined Class 4 reduction is three</w:t>
            </w:r>
          </w:p>
        </w:tc>
      </w:tr>
      <w:tr>
        <w:trPr>
          <w:cantSplit/>
        </w:trPr>
        <w:tc>
          <w:tcPr>
            <w:tcW w:type="dxa" w:w="3154"/>
            <w:vAlign w:val="center"/>
          </w:tcPr>
          <w:p>
            <w:pPr>
              <w:spacing w:line="252" w:lineRule="auto" w:after="80"/>
            </w:pPr>
            <w:r>
              <w:rPr>
                <w:sz w:val="18"/>
              </w:rPr>
              <w:t>22 May / 4 July 2024</w:t>
            </w:r>
          </w:p>
        </w:tc>
        <w:tc>
          <w:tcPr>
            <w:tcW w:type="dxa" w:w="3154"/>
            <w:vAlign w:val="center"/>
          </w:tcPr>
          <w:p>
            <w:pPr>
              <w:spacing w:line="252" w:lineRule="auto" w:after="80"/>
            </w:pPr>
            <w:r>
              <w:rPr>
                <w:sz w:val="18"/>
              </w:rPr>
              <w:t>Election announced / polling day</w:t>
            </w:r>
          </w:p>
        </w:tc>
        <w:tc>
          <w:tcPr>
            <w:tcW w:type="dxa" w:w="3154"/>
            <w:vAlign w:val="center"/>
          </w:tcPr>
          <w:p>
            <w:pPr>
              <w:spacing w:line="252" w:lineRule="auto" w:after="80"/>
            </w:pPr>
            <w:r>
              <w:rPr>
                <w:sz w:val="18"/>
              </w:rPr>
              <w:t>Electoral context; dates do not establish policy motivation</w:t>
            </w:r>
          </w:p>
        </w:tc>
      </w:tr>
    </w:tbl>
    <w:p/>
    <w:p>
      <w:pPr>
        <w:pStyle w:val="Caption"/>
      </w:pPr>
      <w:r>
        <w:t>Sources: HMRC (2023, 2024); HM Treasury (2024a); House of Commons Library (2024b).</w:t>
      </w:r>
    </w:p>
    <w:p>
      <w:r>
        <w:t>For the calculations below, the employee main-rate band is £12,570 to £50,270 annually, with 2% payable above the upper limit. The reforms reduced the main rate rather than every rate. Consequently, receiving a sizeable tax saving does not necessarily mean that the marginal tax rate on a person's next pound of earnings fell (HM Treasury, 2024a, ‘Rewarding work’).</w:t>
      </w:r>
    </w:p>
    <w:p>
      <w:r>
        <w:t>The government's stated objectives were to reward work, raise disposable income and strengthen growth. The Budget explicitly preferred NICs reductions as a way of targeting working people (HM Treasury, 2024a, executive summary). Those are policy objectives, not findings about realised outcomes. The central budgeting question is whether targeting earnings in this way represented a good use of limited revenue compared with threshold indexation, targeted support or public expenditure.</w:t>
      </w:r>
    </w:p>
    <w:p>
      <w:pPr>
        <w:pStyle w:val="Heading1"/>
      </w:pPr>
      <w:r>
        <w:t>3. Economic Efficiency</w:t>
      </w:r>
    </w:p>
    <w:p>
      <w:pPr>
        <w:pStyle w:val="Heading2"/>
      </w:pPr>
      <w:r>
        <w:t>3.1 Incentives and the relevant margins</w:t>
      </w:r>
    </w:p>
    <w:p>
      <w:r>
        <w:t>The economic case begins with the difference between the cost of employing someone and the income that person retains. Reducing employee NICs increases take-home pay at a given gross wage. It can therefore improve the financial reward from entering employment or increasing hours. However, the size of that response depends on the whole tax and benefit schedule and on whether workers can adjust their employment decisions. The Mirrlees Review distinguishes participation from hours decisions and stresses that social welfare includes the costs of additional work, as well as earnings (Adam et al., 2011, chapter 3).</w:t>
      </w:r>
    </w:p>
    <w:p>
      <w:r>
        <w:t>Consider an employee whose additional earnings fall entirely within the main NICs band. In a simplified example holding income tax at 20% and excluding benefits, the amount retained from an extra pound rises from 68 pence at a 12% NICs rate to 72 pence at an 8% rate. This is a four percentage point increase in retention, or approximately 5.9% relative to the original 68 pence. For the March reduction alone, retention rises from 70 to 72 pence. These are arithmetic incentive changes, not estimates of hours growth.</w:t>
      </w:r>
    </w:p>
    <w:p>
      <w:r>
        <w:t>The distinction matters above £50,270. An employee already above that limit receives relief on the earlier band but faces the unchanged 2% NICs rate on additional earnings. Their reform gain is effectively fixed if earnings remain above the limit. The reform therefore delivers an income gain without the same direct marginal incentive to work another hour. A policy assessment that assumes identical responses for every beneficiary would overlook the actual shape of the schedule.</w:t>
      </w:r>
    </w:p>
    <w:p>
      <w:r>
        <w:t>A second distinction is between financial incentives and practical capacity. Someone may want more hours but have a fixed contract, caring commitments or a health limitation. Another person may be able to accept additional work quickly. These possibilities imply that identical tax savings can produce different responses. The tax schedule establishes the financial opportunity; it does not establish how many people can use it. Evaluating complementary measures such as childcare or employment support would require separate evidence and an explicit funding comparison.</w:t>
      </w:r>
    </w:p>
    <w:p>
      <w:r>
        <w:t>A useful counterfactual asks what would happen with the same thresholds but no rate cut. This isolates the instrument's incentive effect. A different question asks whether the entire tax system encouraged more work than an indexed system would have done. Both questions are legitimate, but they cannot share a single headline answer. For example, a worker moving into a higher income tax band because of a freeze may experience a higher combined marginal burden despite the NICs reduction. The two policies can operate in opposite directions for that worker. This is why an improvement relative to one baseline does not establish improvement relative to every feasible baseline.</w:t>
      </w:r>
    </w:p>
    <w:p>
      <w:pPr>
        <w:pStyle w:val="Heading2"/>
      </w:pPr>
      <w:r>
        <w:t>3.2 What the contemporary forecast supports</w:t>
      </w:r>
    </w:p>
    <w:p>
      <w:r>
        <w:t>The OBR's March assessment projected an increase in labour supply equivalent to 98,000 full-time workers from the additional NICs reductions, with approximately 199,000 FTEs from the November and March reductions together by 2028–29. These measures represent additional aggregate hours, including hours supplied by existing workers. They are not a forecast of that many identifiable new jobs. HMRC reported a projected 0.2% increase in potential output from the March measure by the forecast horizon (OBR, 2024b, Box 3.2; HMRC, 2024, ‘Economic impact’).</w:t>
      </w:r>
    </w:p>
    <w:p>
      <w:r>
        <w:t>This evidence supports a qualified efficiency argument. The official assessment expected a positive behavioural response, rather than treating the reform as a purely mechanical transfer. Nevertheless, the projected response was bounded and conditional. A forecast translates assumptions about behaviour into an expected aggregate outcome; it does not independently demonstrate that those assumptions will hold. Evidence of actual implementation is also insufficient to validate the predicted economic effect.</w:t>
      </w:r>
    </w:p>
    <w:p>
      <w:r>
        <w:t>A convincing subsequent evaluation would distinguish participation, hours and earnings. It would ask whether people with larger policy-induced changes in financial incentives adjusted differently from otherwise comparable people with smaller changes. That design would still need to address differences in occupations, prior earnings trends and exposure to other policies. A simple before-and-after comparison of national employment would not isolate NICs, because many influences on labour demand and supply change simultaneously.</w:t>
      </w:r>
    </w:p>
    <w:p>
      <w:pPr>
        <w:pStyle w:val="Heading2"/>
      </w:pPr>
      <w:r>
        <w:t>3.3 Revenue feedback and the Laffer argument</w:t>
      </w:r>
    </w:p>
    <w:p>
      <w:r>
        <w:t>A tax reduction can generate some additional taxable activity without financing itself. Algebraically, revenue depends on both the tax rate and the taxable base: R = tB(t). A lower rate reduces receipts mechanically; any behavioural expansion of the base offsets part of that loss. Demonstrating self-financing would require showing that the base expands sufficiently to eliminate the loss across the relevant taxes and expenditure effects. The existence of a positive response establishes neither that condition nor the UK's location on a Laffer curve.</w:t>
      </w:r>
    </w:p>
    <w:p>
      <w:r>
        <w:t>For illustration, if a hypothetical tax applied uniformly to a fixed category of income, reducing its rate from 10% to 8% would require a 25% increase in that taxable base merely to preserve that tax's receipts. The real NICs system contains thresholds and multiple rates, so this is not a UK forecast. It shows why ‘more work’ and ‘more revenue’ are separate propositions. The published March policy costings remained negative throughout the forecast period (HMRC, 2024, ‘Exchequer impact’).</w:t>
      </w:r>
    </w:p>
    <w:p>
      <w:r>
        <w:t>Nor should additional GDP automatically be equated with net social benefit. Extra output may involve additional effort, commuting and childcare costs, while the resources used to finance the tax reduction have alternative uses. The relevant efficiency comparison is therefore between feasible packages with similar fiscal costs. A broad rate reduction may be administratively straightforward, but some of its expenditure goes to people whose employment decisions barely change. Overall, the evidence supports a plausible, modest improvement in incentives; it does not establish exceptional cost effectiveness or a self-financing reform.</w:t>
      </w:r>
    </w:p>
    <w:p>
      <w:pPr>
        <w:pStyle w:val="Heading1"/>
      </w:pPr>
      <w:r>
        <w:t>4. Distributional Equity</w:t>
      </w:r>
    </w:p>
    <w:p>
      <w:pPr>
        <w:pStyle w:val="Heading2"/>
      </w:pPr>
      <w:r>
        <w:t>4.1 Direct gains from the rate reduction</w:t>
      </w:r>
    </w:p>
    <w:p>
      <w:r>
        <w:t>To isolate the rate effect, this paper calculates employee savings at unchanged thresholds and gross earnings. For stable earnings y from one job, the annualised gain from the combined four percentage point reduction is:</w:t>
      </w:r>
    </w:p>
    <w:p>
      <w:pPr>
        <w:jc w:val="center"/>
      </w:pPr>
      <w:r>
        <w:rPr>
          <w:b/>
          <w:sz w:val="22"/>
        </w:rPr>
        <w:t>Annual gain = 0.04 × max[0, min(y, £50,270) − £12,570].</w:t>
      </w:r>
    </w:p>
    <w:p>
      <w:r>
        <w:t>The March-only gain uses 0.02 instead of 0.04. These calculations compare a full year at the new rate with a full year at the specified earlier rate. They do not measure the cash actually received during the calendar year 2024, and they exclude changes to benefits, pensions and other taxes. Annualised thresholds also introduce small differences from payroll-period rounding.</w:t>
      </w:r>
    </w:p>
    <w:p>
      <w:pPr>
        <w:pStyle w:val="Caption"/>
      </w:pPr>
      <w:r>
        <w:t>Table 2. Annualised employee gains at fixed earnings and thresholds (£)</w:t>
      </w:r>
    </w:p>
    <w:tbl>
      <w:tblPr>
        <w:tblStyle w:val="LightShading-Accent1"/>
        <w:tblW w:type="auto" w:w="0"/>
        <w:jc w:val="center"/>
        <w:tblLook w:firstColumn="1" w:firstRow="1" w:lastColumn="0" w:lastRow="0" w:noHBand="0" w:noVBand="1" w:val="04A0"/>
      </w:tblPr>
      <w:tblGrid>
        <w:gridCol w:w="2365"/>
        <w:gridCol w:w="2365"/>
        <w:gridCol w:w="2365"/>
        <w:gridCol w:w="2365"/>
      </w:tblGrid>
      <w:tr>
        <w:trPr>
          <w:tblHeader/>
          <w:cantSplit/>
        </w:trPr>
        <w:tc>
          <w:tcPr>
            <w:tcW w:type="dxa" w:w="2365"/>
            <w:vAlign w:val="center"/>
          </w:tcPr>
          <w:p>
            <w:pPr>
              <w:spacing w:line="252" w:lineRule="auto" w:after="80"/>
            </w:pPr>
            <w:r>
              <w:rPr>
                <w:sz w:val="18"/>
              </w:rPr>
              <w:t>Annual gross earnings</w:t>
            </w:r>
          </w:p>
        </w:tc>
        <w:tc>
          <w:tcPr>
            <w:tcW w:type="dxa" w:w="2365"/>
            <w:vAlign w:val="center"/>
          </w:tcPr>
          <w:p>
            <w:pPr>
              <w:spacing w:line="252" w:lineRule="auto" w:after="80"/>
            </w:pPr>
            <w:r>
              <w:rPr>
                <w:sz w:val="18"/>
              </w:rPr>
              <w:t>March cut: 10% to 8%</w:t>
            </w:r>
          </w:p>
        </w:tc>
        <w:tc>
          <w:tcPr>
            <w:tcW w:type="dxa" w:w="2365"/>
            <w:vAlign w:val="center"/>
          </w:tcPr>
          <w:p>
            <w:pPr>
              <w:spacing w:line="252" w:lineRule="auto" w:after="80"/>
            </w:pPr>
            <w:r>
              <w:rPr>
                <w:sz w:val="18"/>
              </w:rPr>
              <w:t>Combined cuts: 12% to 8%</w:t>
            </w:r>
          </w:p>
        </w:tc>
        <w:tc>
          <w:tcPr>
            <w:tcW w:type="dxa" w:w="2365"/>
            <w:vAlign w:val="center"/>
          </w:tcPr>
          <w:p>
            <w:pPr>
              <w:spacing w:line="252" w:lineRule="auto" w:after="80"/>
            </w:pPr>
            <w:r>
              <w:rPr>
                <w:sz w:val="18"/>
              </w:rPr>
              <w:t>Combined gain / gross earnings</w:t>
            </w:r>
          </w:p>
        </w:tc>
      </w:tr>
      <w:tr>
        <w:trPr>
          <w:cantSplit/>
        </w:trPr>
        <w:tc>
          <w:tcPr>
            <w:tcW w:type="dxa" w:w="2365"/>
            <w:vAlign w:val="center"/>
          </w:tcPr>
          <w:p>
            <w:pPr>
              <w:spacing w:line="252" w:lineRule="auto" w:after="80"/>
            </w:pPr>
            <w:r>
              <w:rPr>
                <w:sz w:val="18"/>
              </w:rPr>
              <w:t>10,000</w:t>
            </w:r>
          </w:p>
        </w:tc>
        <w:tc>
          <w:tcPr>
            <w:tcW w:type="dxa" w:w="2365"/>
            <w:vAlign w:val="center"/>
          </w:tcPr>
          <w:p>
            <w:pPr>
              <w:spacing w:line="252" w:lineRule="auto" w:after="80"/>
            </w:pPr>
            <w:r>
              <w:rPr>
                <w:sz w:val="18"/>
              </w:rPr>
              <w:t>0.00</w:t>
            </w:r>
          </w:p>
        </w:tc>
        <w:tc>
          <w:tcPr>
            <w:tcW w:type="dxa" w:w="2365"/>
            <w:vAlign w:val="center"/>
          </w:tcPr>
          <w:p>
            <w:pPr>
              <w:spacing w:line="252" w:lineRule="auto" w:after="80"/>
            </w:pPr>
            <w:r>
              <w:rPr>
                <w:sz w:val="18"/>
              </w:rPr>
              <w:t>0.00</w:t>
            </w:r>
          </w:p>
        </w:tc>
        <w:tc>
          <w:tcPr>
            <w:tcW w:type="dxa" w:w="2365"/>
            <w:vAlign w:val="center"/>
          </w:tcPr>
          <w:p>
            <w:pPr>
              <w:spacing w:line="252" w:lineRule="auto" w:after="80"/>
            </w:pPr>
            <w:r>
              <w:rPr>
                <w:sz w:val="18"/>
              </w:rPr>
              <w:t>0.00%</w:t>
            </w:r>
          </w:p>
        </w:tc>
      </w:tr>
      <w:tr>
        <w:trPr>
          <w:cantSplit/>
        </w:trPr>
        <w:tc>
          <w:tcPr>
            <w:tcW w:type="dxa" w:w="2365"/>
            <w:vAlign w:val="center"/>
          </w:tcPr>
          <w:p>
            <w:pPr>
              <w:spacing w:line="252" w:lineRule="auto" w:after="80"/>
            </w:pPr>
            <w:r>
              <w:rPr>
                <w:sz w:val="18"/>
              </w:rPr>
              <w:t>15,000</w:t>
            </w:r>
          </w:p>
        </w:tc>
        <w:tc>
          <w:tcPr>
            <w:tcW w:type="dxa" w:w="2365"/>
            <w:vAlign w:val="center"/>
          </w:tcPr>
          <w:p>
            <w:pPr>
              <w:spacing w:line="252" w:lineRule="auto" w:after="80"/>
            </w:pPr>
            <w:r>
              <w:rPr>
                <w:sz w:val="18"/>
              </w:rPr>
              <w:t>48.60</w:t>
            </w:r>
          </w:p>
        </w:tc>
        <w:tc>
          <w:tcPr>
            <w:tcW w:type="dxa" w:w="2365"/>
            <w:vAlign w:val="center"/>
          </w:tcPr>
          <w:p>
            <w:pPr>
              <w:spacing w:line="252" w:lineRule="auto" w:after="80"/>
            </w:pPr>
            <w:r>
              <w:rPr>
                <w:sz w:val="18"/>
              </w:rPr>
              <w:t>97.20</w:t>
            </w:r>
          </w:p>
        </w:tc>
        <w:tc>
          <w:tcPr>
            <w:tcW w:type="dxa" w:w="2365"/>
            <w:vAlign w:val="center"/>
          </w:tcPr>
          <w:p>
            <w:pPr>
              <w:spacing w:line="252" w:lineRule="auto" w:after="80"/>
            </w:pPr>
            <w:r>
              <w:rPr>
                <w:sz w:val="18"/>
              </w:rPr>
              <w:t>0.65%</w:t>
            </w:r>
          </w:p>
        </w:tc>
      </w:tr>
      <w:tr>
        <w:trPr>
          <w:cantSplit/>
        </w:trPr>
        <w:tc>
          <w:tcPr>
            <w:tcW w:type="dxa" w:w="2365"/>
            <w:vAlign w:val="center"/>
          </w:tcPr>
          <w:p>
            <w:pPr>
              <w:spacing w:line="252" w:lineRule="auto" w:after="80"/>
            </w:pPr>
            <w:r>
              <w:rPr>
                <w:sz w:val="18"/>
              </w:rPr>
              <w:t>20,000</w:t>
            </w:r>
          </w:p>
        </w:tc>
        <w:tc>
          <w:tcPr>
            <w:tcW w:type="dxa" w:w="2365"/>
            <w:vAlign w:val="center"/>
          </w:tcPr>
          <w:p>
            <w:pPr>
              <w:spacing w:line="252" w:lineRule="auto" w:after="80"/>
            </w:pPr>
            <w:r>
              <w:rPr>
                <w:sz w:val="18"/>
              </w:rPr>
              <w:t>148.60</w:t>
            </w:r>
          </w:p>
        </w:tc>
        <w:tc>
          <w:tcPr>
            <w:tcW w:type="dxa" w:w="2365"/>
            <w:vAlign w:val="center"/>
          </w:tcPr>
          <w:p>
            <w:pPr>
              <w:spacing w:line="252" w:lineRule="auto" w:after="80"/>
            </w:pPr>
            <w:r>
              <w:rPr>
                <w:sz w:val="18"/>
              </w:rPr>
              <w:t>297.20</w:t>
            </w:r>
          </w:p>
        </w:tc>
        <w:tc>
          <w:tcPr>
            <w:tcW w:type="dxa" w:w="2365"/>
            <w:vAlign w:val="center"/>
          </w:tcPr>
          <w:p>
            <w:pPr>
              <w:spacing w:line="252" w:lineRule="auto" w:after="80"/>
            </w:pPr>
            <w:r>
              <w:rPr>
                <w:sz w:val="18"/>
              </w:rPr>
              <w:t>1.49%</w:t>
            </w:r>
          </w:p>
        </w:tc>
      </w:tr>
      <w:tr>
        <w:trPr>
          <w:cantSplit/>
        </w:trPr>
        <w:tc>
          <w:tcPr>
            <w:tcW w:type="dxa" w:w="2365"/>
            <w:vAlign w:val="center"/>
          </w:tcPr>
          <w:p>
            <w:pPr>
              <w:spacing w:line="252" w:lineRule="auto" w:after="80"/>
            </w:pPr>
            <w:r>
              <w:rPr>
                <w:sz w:val="18"/>
              </w:rPr>
              <w:t>30,000</w:t>
            </w:r>
          </w:p>
        </w:tc>
        <w:tc>
          <w:tcPr>
            <w:tcW w:type="dxa" w:w="2365"/>
            <w:vAlign w:val="center"/>
          </w:tcPr>
          <w:p>
            <w:pPr>
              <w:spacing w:line="252" w:lineRule="auto" w:after="80"/>
            </w:pPr>
            <w:r>
              <w:rPr>
                <w:sz w:val="18"/>
              </w:rPr>
              <w:t>348.60</w:t>
            </w:r>
          </w:p>
        </w:tc>
        <w:tc>
          <w:tcPr>
            <w:tcW w:type="dxa" w:w="2365"/>
            <w:vAlign w:val="center"/>
          </w:tcPr>
          <w:p>
            <w:pPr>
              <w:spacing w:line="252" w:lineRule="auto" w:after="80"/>
            </w:pPr>
            <w:r>
              <w:rPr>
                <w:sz w:val="18"/>
              </w:rPr>
              <w:t>697.20</w:t>
            </w:r>
          </w:p>
        </w:tc>
        <w:tc>
          <w:tcPr>
            <w:tcW w:type="dxa" w:w="2365"/>
            <w:vAlign w:val="center"/>
          </w:tcPr>
          <w:p>
            <w:pPr>
              <w:spacing w:line="252" w:lineRule="auto" w:after="80"/>
            </w:pPr>
            <w:r>
              <w:rPr>
                <w:sz w:val="18"/>
              </w:rPr>
              <w:t>2.32%</w:t>
            </w:r>
          </w:p>
        </w:tc>
      </w:tr>
      <w:tr>
        <w:trPr>
          <w:cantSplit/>
        </w:trPr>
        <w:tc>
          <w:tcPr>
            <w:tcW w:type="dxa" w:w="2365"/>
            <w:vAlign w:val="center"/>
          </w:tcPr>
          <w:p>
            <w:pPr>
              <w:spacing w:line="252" w:lineRule="auto" w:after="80"/>
            </w:pPr>
            <w:r>
              <w:rPr>
                <w:sz w:val="18"/>
              </w:rPr>
              <w:t>35,400</w:t>
            </w:r>
          </w:p>
        </w:tc>
        <w:tc>
          <w:tcPr>
            <w:tcW w:type="dxa" w:w="2365"/>
            <w:vAlign w:val="center"/>
          </w:tcPr>
          <w:p>
            <w:pPr>
              <w:spacing w:line="252" w:lineRule="auto" w:after="80"/>
            </w:pPr>
            <w:r>
              <w:rPr>
                <w:sz w:val="18"/>
              </w:rPr>
              <w:t>456.60</w:t>
            </w:r>
          </w:p>
        </w:tc>
        <w:tc>
          <w:tcPr>
            <w:tcW w:type="dxa" w:w="2365"/>
            <w:vAlign w:val="center"/>
          </w:tcPr>
          <w:p>
            <w:pPr>
              <w:spacing w:line="252" w:lineRule="auto" w:after="80"/>
            </w:pPr>
            <w:r>
              <w:rPr>
                <w:sz w:val="18"/>
              </w:rPr>
              <w:t>913.20</w:t>
            </w:r>
          </w:p>
        </w:tc>
        <w:tc>
          <w:tcPr>
            <w:tcW w:type="dxa" w:w="2365"/>
            <w:vAlign w:val="center"/>
          </w:tcPr>
          <w:p>
            <w:pPr>
              <w:spacing w:line="252" w:lineRule="auto" w:after="80"/>
            </w:pPr>
            <w:r>
              <w:rPr>
                <w:sz w:val="18"/>
              </w:rPr>
              <w:t>2.58%</w:t>
            </w:r>
          </w:p>
        </w:tc>
      </w:tr>
      <w:tr>
        <w:trPr>
          <w:cantSplit/>
        </w:trPr>
        <w:tc>
          <w:tcPr>
            <w:tcW w:type="dxa" w:w="2365"/>
            <w:vAlign w:val="center"/>
          </w:tcPr>
          <w:p>
            <w:pPr>
              <w:spacing w:line="252" w:lineRule="auto" w:after="80"/>
            </w:pPr>
            <w:r>
              <w:rPr>
                <w:sz w:val="18"/>
              </w:rPr>
              <w:t>50,270</w:t>
            </w:r>
          </w:p>
        </w:tc>
        <w:tc>
          <w:tcPr>
            <w:tcW w:type="dxa" w:w="2365"/>
            <w:vAlign w:val="center"/>
          </w:tcPr>
          <w:p>
            <w:pPr>
              <w:spacing w:line="252" w:lineRule="auto" w:after="80"/>
            </w:pPr>
            <w:r>
              <w:rPr>
                <w:sz w:val="18"/>
              </w:rPr>
              <w:t>754.00</w:t>
            </w:r>
          </w:p>
        </w:tc>
        <w:tc>
          <w:tcPr>
            <w:tcW w:type="dxa" w:w="2365"/>
            <w:vAlign w:val="center"/>
          </w:tcPr>
          <w:p>
            <w:pPr>
              <w:spacing w:line="252" w:lineRule="auto" w:after="80"/>
            </w:pPr>
            <w:r>
              <w:rPr>
                <w:sz w:val="18"/>
              </w:rPr>
              <w:t>1,508.00</w:t>
            </w:r>
          </w:p>
        </w:tc>
        <w:tc>
          <w:tcPr>
            <w:tcW w:type="dxa" w:w="2365"/>
            <w:vAlign w:val="center"/>
          </w:tcPr>
          <w:p>
            <w:pPr>
              <w:spacing w:line="252" w:lineRule="auto" w:after="80"/>
            </w:pPr>
            <w:r>
              <w:rPr>
                <w:sz w:val="18"/>
              </w:rPr>
              <w:t>3.00%</w:t>
            </w:r>
          </w:p>
        </w:tc>
      </w:tr>
      <w:tr>
        <w:trPr>
          <w:cantSplit/>
        </w:trPr>
        <w:tc>
          <w:tcPr>
            <w:tcW w:type="dxa" w:w="2365"/>
            <w:vAlign w:val="center"/>
          </w:tcPr>
          <w:p>
            <w:pPr>
              <w:spacing w:line="252" w:lineRule="auto" w:after="80"/>
            </w:pPr>
            <w:r>
              <w:rPr>
                <w:sz w:val="18"/>
              </w:rPr>
              <w:t>80,000</w:t>
            </w:r>
          </w:p>
        </w:tc>
        <w:tc>
          <w:tcPr>
            <w:tcW w:type="dxa" w:w="2365"/>
            <w:vAlign w:val="center"/>
          </w:tcPr>
          <w:p>
            <w:pPr>
              <w:spacing w:line="252" w:lineRule="auto" w:after="80"/>
            </w:pPr>
            <w:r>
              <w:rPr>
                <w:sz w:val="18"/>
              </w:rPr>
              <w:t>754.00</w:t>
            </w:r>
          </w:p>
        </w:tc>
        <w:tc>
          <w:tcPr>
            <w:tcW w:type="dxa" w:w="2365"/>
            <w:vAlign w:val="center"/>
          </w:tcPr>
          <w:p>
            <w:pPr>
              <w:spacing w:line="252" w:lineRule="auto" w:after="80"/>
            </w:pPr>
            <w:r>
              <w:rPr>
                <w:sz w:val="18"/>
              </w:rPr>
              <w:t>1,508.00</w:t>
            </w:r>
          </w:p>
        </w:tc>
        <w:tc>
          <w:tcPr>
            <w:tcW w:type="dxa" w:w="2365"/>
            <w:vAlign w:val="center"/>
          </w:tcPr>
          <w:p>
            <w:pPr>
              <w:spacing w:line="252" w:lineRule="auto" w:after="80"/>
            </w:pPr>
            <w:r>
              <w:rPr>
                <w:sz w:val="18"/>
              </w:rPr>
              <w:t>1.89%</w:t>
            </w:r>
          </w:p>
        </w:tc>
      </w:tr>
      <w:tr>
        <w:trPr>
          <w:cantSplit/>
        </w:trPr>
        <w:tc>
          <w:tcPr>
            <w:tcW w:type="dxa" w:w="2365"/>
            <w:vAlign w:val="center"/>
          </w:tcPr>
          <w:p>
            <w:pPr>
              <w:spacing w:line="252" w:lineRule="auto" w:after="80"/>
            </w:pPr>
            <w:r>
              <w:rPr>
                <w:sz w:val="18"/>
              </w:rPr>
              <w:t>100,000</w:t>
            </w:r>
          </w:p>
        </w:tc>
        <w:tc>
          <w:tcPr>
            <w:tcW w:type="dxa" w:w="2365"/>
            <w:vAlign w:val="center"/>
          </w:tcPr>
          <w:p>
            <w:pPr>
              <w:spacing w:line="252" w:lineRule="auto" w:after="80"/>
            </w:pPr>
            <w:r>
              <w:rPr>
                <w:sz w:val="18"/>
              </w:rPr>
              <w:t>754.00</w:t>
            </w:r>
          </w:p>
        </w:tc>
        <w:tc>
          <w:tcPr>
            <w:tcW w:type="dxa" w:w="2365"/>
            <w:vAlign w:val="center"/>
          </w:tcPr>
          <w:p>
            <w:pPr>
              <w:spacing w:line="252" w:lineRule="auto" w:after="80"/>
            </w:pPr>
            <w:r>
              <w:rPr>
                <w:sz w:val="18"/>
              </w:rPr>
              <w:t>1,508.00</w:t>
            </w:r>
          </w:p>
        </w:tc>
        <w:tc>
          <w:tcPr>
            <w:tcW w:type="dxa" w:w="2365"/>
            <w:vAlign w:val="center"/>
          </w:tcPr>
          <w:p>
            <w:pPr>
              <w:spacing w:line="252" w:lineRule="auto" w:after="80"/>
            </w:pPr>
            <w:r>
              <w:rPr>
                <w:sz w:val="18"/>
              </w:rPr>
              <w:t>1.51%</w:t>
            </w:r>
          </w:p>
        </w:tc>
      </w:tr>
    </w:tbl>
    <w:p/>
    <w:p>
      <w:pPr>
        <w:pStyle w:val="Caption"/>
      </w:pPr>
      <w:r>
        <w:t>Source: Authors' illustrative calculations using the statutory rate changes and the £12,570 / £50,270 annualised band in HMRC (2023, 2024) and HM Treasury (2024a). These are individual examples, not household income deciles or estimated population averages.</w:t>
      </w:r>
    </w:p>
    <w:p>
      <w:r>
        <w:t>Three findings follow directly from the formula. First, workers below the threshold receive no direct relief under the stable-pay assumption. Second, cash gains rise with earnings until the upper limit and then stop increasing. Third, gains relative to gross earnings peak at that limit before declining. It would therefore be misleading either to call the cut uniformly progressive or to claim that its cash value keeps rising indefinitely with income. The equity judgement depends on the metric and comparison group.</w:t>
      </w:r>
    </w:p>
    <w:p>
      <w:r>
        <w:t>Vertical equity asks whether people with greater ability to pay should contribute more. Giving larger cash savings to employees near the upper limit than to employees earning £15,000 offers limited targeting of need. However, this observation alone does not show that the overall tax system became regressive. That stronger claim would require evidence on total tax liabilities, household resources and expenditure benefits. Table 2 isolates an instrument; it does not describe the entire distribution of living standards.</w:t>
      </w:r>
    </w:p>
    <w:p>
      <w:r>
        <w:t>Horizontal equity raises a different issue. At equal total income, an employee can benefit while someone receiving only rental or pension income receives no direct NICs reduction. If fairness means reducing the additional taxation of earnings, this difference can support the reform. If fairness means equal relief for people with equal resources, it is harder to defend. These are competing normative standards. Neither can be resolved by reporting the average worker's saving.</w:t>
      </w:r>
    </w:p>
    <w:p>
      <w:r>
        <w:t>Household composition further changes how equal individual relief translates into welfare. In the fixed-earnings illustration, one employee earning £60,000 receives £1,508 from the combined reduction. Two employees each earning £30,000 receive £1,394.40 together. The households have the same total gross employment income, yet different direct gains because two main-rate bands are used differently. This is an arithmetic example, not a claim that either household is poorer or deserves more relief. It demonstrates why household analysis cannot simply assign the saving of a representative individual to every family with the same total income. Dependants, housing costs and benefit entitlement would complicate the comparison further.</w:t>
      </w:r>
    </w:p>
    <w:p>
      <w:pPr>
        <w:pStyle w:val="Heading2"/>
      </w:pPr>
      <w:r>
        <w:t>4.2 Fiscal drag and the choice of baseline</w:t>
      </w:r>
    </w:p>
    <w:p>
      <w:r>
        <w:t>Threshold freezes change the interpretation substantially. Under indexation, thresholds would rise with prices; under a freeze, nominal income growth pushes a larger share of earnings into tax even when real purchasing power has barely changed. Someone can consequently gain from a rate reduction yet pay more than under an indexed system. This is a comparison between policy paths, rather than a contradiction in the arithmetic.</w:t>
      </w:r>
    </w:p>
    <w:p>
      <w:r>
        <w:t>An illustrative example makes the mechanism explicit. Suppose earnings and a tax allowance initially equal £20,000 and £12,570. After hypothetical inflation of 5%, earnings rise to £21,000. An indexed allowance would become £13,198.50, whereas a frozen allowance remains £12,570. The freeze exposes an additional £628.50 to tax. At an assumed 20% income tax rate, this creates £125.70 of additional liability. This example isolates income tax, assumes unchanged tax bands otherwise, and is not an estimate of actual inflation or the entire UK tax package.</w:t>
      </w:r>
    </w:p>
    <w:p>
      <w:r>
        <w:t>IFS estimated that aggregate threshold changes took £1.30 for each £1 returned through NICs cuts by 2024, rising to £1.90 in 2027. Its assessment of personal tax changes since 2021 found around 14 million employees, broadly those earning £26,000–£60,000, better off in 2024–25; by 2027–28, the projected number fell to approximately 9 million, broadly earning £32,000–£55,000 (Adam et al., 2024, ‘Cuts to National Insurance contributions’). These estimates use a wider policy baseline than Table 2 and must not be interpreted as the effects of the NICs rate cut alone.</w:t>
      </w:r>
    </w:p>
    <w:p>
      <w:r>
        <w:t>The resulting policy judgement is that the reform offered clear relief to taxable earnings but did not establish broadly shared improvements in household welfare. Individual earnings cannot identify household poverty: a low-paid employee may share resources with a high earner, and a household without employment may have substantial needs. A complete distributional assessment would also consider benefit withdrawals and the public services households use. The available evidence supports caution about claims of universal benefit and highlights the importance of publishing both direct savings and the combined effects of rates and thresholds.</w:t>
      </w:r>
    </w:p>
    <w:p>
      <w:pPr>
        <w:pStyle w:val="Heading1"/>
      </w:pPr>
      <w:r>
        <w:t>5. Political Economy and Fiscal Sustainability</w:t>
      </w:r>
    </w:p>
    <w:p>
      <w:pPr>
        <w:pStyle w:val="Heading2"/>
      </w:pPr>
      <w:r>
        <w:t>5.1 Political appeal and evidential limits</w:t>
      </w:r>
    </w:p>
    <w:p>
      <w:r>
        <w:t>Tax policy changes who pays, who benefits and who receives political credit. NICs reductions provided an easily communicated change in a familiar payroll deduction. Their appeal can be understood through three features: identifiable beneficiaries, implementation through existing systems and a straightforward headline rate. These are analytical explanations of political attractiveness, rather than evidence about any individual minister's intentions.</w:t>
      </w:r>
    </w:p>
    <w:p>
      <w:r>
        <w:t>The government's own presentation supports the interpretation that rewarding employment was central to its public justification. The Spring Budget contrasted the taxation of earnings with other income and presented NICs reductions as supporting fairness and growth. The Chancellor's speech connected permanent tax reductions with higher growth and public services (HM Treasury, 2024a, executive summary; HM Treasury, 2024b). These statements establish the declared argument. They do not independently establish that growth would finance the revenue loss or that every affected group would be better off.</w:t>
      </w:r>
    </w:p>
    <w:p>
      <w:r>
        <w:t>Electoral chronology supplies context but requires care. The Budget was delivered on 6 March; the general election date was announced on 22 May, with polling on 4 July (House of Commons Library, 2024b). It is reasonable to analyse the reform in a pre-election setting. It would be inaccurate to suggest that the July date had already been publicly announced when the March decision was made. More fundamentally, being electorally attractive does not invalidate an economic rationale: a government can choose a policy for several reasons at once.</w:t>
      </w:r>
    </w:p>
    <w:p>
      <w:r>
        <w:t>There is also a communication asymmetry between rate reductions and threshold freezes. A rate cut has a clear announcement date and a readily identifiable change. The effects of a freeze accumulate as nominal incomes change and require an indexed counterfactual to explain. This makes selective presentation possible even where every individual statement is technically correct. The appropriate accountability response is a common baseline showing both mechanisms, rather than an unsupported accusation about deception or motive.</w:t>
      </w:r>
    </w:p>
    <w:p>
      <w:r>
        <w:t>Political feasibility also includes delivery. A policy that changes rates within an established payroll system can be easier to explain and administer than a new targeted programme. Yet simplicity has a distributional price: eligibility follows taxable earnings rather than financial need. The government thus obtained a communicable intervention by accepting imperfect targeting. Whether that trade-off was desirable depends on whether the priority was work incentives, general living standards or poverty reduction. Those objectives should not be treated as synonymous.</w:t>
      </w:r>
    </w:p>
    <w:p>
      <w:r>
        <w:t>There is a distinction between political attractiveness and political success. To demonstrate that the reform changed voting behaviour would require evidence about public awareness, attribution of responsibility and preferences relative to competing issues. A favourable response to the idea of lower taxes would not by itself identify the effect of this particular instrument. Equally, an election result would combine many influences and could not establish that the NICs decision succeeded or failed politically. The documentary evidence used here can explain the policy's presentation and likely sources of appeal, but it cannot measure its electoral return. That boundary keeps the political argument testable rather than speculative.</w:t>
      </w:r>
    </w:p>
    <w:p>
      <w:pPr>
        <w:pStyle w:val="Heading2"/>
      </w:pPr>
      <w:r>
        <w:t>5.2 Cost, budget constraints and resilience</w:t>
      </w:r>
    </w:p>
    <w:p>
      <w:r>
        <w:t>The March policy costings allow the revenue implications to be stated precisely. Summing the employee and self-employed rows yields a direct Exchequer cost of £10.070 billion in 2024–25 and £10.750 billion in 2028–29. The sum over five years is £51.635 billion. These are the published policy-costing entries, which incorporate the costings' specified behavioural assumptions; they should not be relabelled as a purely static estimate or as an all-inclusive macroeconomic net borrowing effect (HMRC, 2024; HM Treasury, 2024a, Table 5.1).</w:t>
      </w:r>
    </w:p>
    <w:p>
      <w:pPr>
        <w:pStyle w:val="Caption"/>
      </w:pPr>
      <w:r>
        <w:t>Table 3. Direct Exchequer cost of the March 2024 NICs reductions (£ billion)</w:t>
      </w:r>
    </w:p>
    <w:tbl>
      <w:tblPr>
        <w:tblStyle w:val="LightShading-Accent1"/>
        <w:tblW w:type="auto" w:w="0"/>
        <w:jc w:val="center"/>
        <w:tblLook w:firstColumn="1" w:firstRow="1" w:lastColumn="0" w:lastRow="0" w:noHBand="0" w:noVBand="1" w:val="04A0"/>
      </w:tblPr>
      <w:tblGrid>
        <w:gridCol w:w="2365"/>
        <w:gridCol w:w="2365"/>
        <w:gridCol w:w="2365"/>
        <w:gridCol w:w="2365"/>
      </w:tblGrid>
      <w:tr>
        <w:trPr>
          <w:tblHeader/>
          <w:cantSplit/>
        </w:trPr>
        <w:tc>
          <w:tcPr>
            <w:tcW w:type="dxa" w:w="2365"/>
            <w:vAlign w:val="center"/>
          </w:tcPr>
          <w:p>
            <w:pPr>
              <w:spacing w:line="252" w:lineRule="auto" w:after="80"/>
            </w:pPr>
            <w:r>
              <w:rPr>
                <w:sz w:val="18"/>
              </w:rPr>
              <w:t>Tax year</w:t>
            </w:r>
          </w:p>
        </w:tc>
        <w:tc>
          <w:tcPr>
            <w:tcW w:type="dxa" w:w="2365"/>
            <w:vAlign w:val="center"/>
          </w:tcPr>
          <w:p>
            <w:pPr>
              <w:spacing w:line="252" w:lineRule="auto" w:after="80"/>
            </w:pPr>
            <w:r>
              <w:rPr>
                <w:sz w:val="18"/>
              </w:rPr>
              <w:t>Employee Class 1</w:t>
            </w:r>
          </w:p>
        </w:tc>
        <w:tc>
          <w:tcPr>
            <w:tcW w:type="dxa" w:w="2365"/>
            <w:vAlign w:val="center"/>
          </w:tcPr>
          <w:p>
            <w:pPr>
              <w:spacing w:line="252" w:lineRule="auto" w:after="80"/>
            </w:pPr>
            <w:r>
              <w:rPr>
                <w:sz w:val="18"/>
              </w:rPr>
              <w:t>Self-employed Class 4</w:t>
            </w:r>
          </w:p>
        </w:tc>
        <w:tc>
          <w:tcPr>
            <w:tcW w:type="dxa" w:w="2365"/>
            <w:vAlign w:val="center"/>
          </w:tcPr>
          <w:p>
            <w:pPr>
              <w:spacing w:line="252" w:lineRule="auto" w:after="80"/>
            </w:pPr>
            <w:r>
              <w:rPr>
                <w:sz w:val="18"/>
              </w:rPr>
              <w:t>Combined cost</w:t>
            </w:r>
          </w:p>
        </w:tc>
      </w:tr>
      <w:tr>
        <w:trPr>
          <w:cantSplit/>
        </w:trPr>
        <w:tc>
          <w:tcPr>
            <w:tcW w:type="dxa" w:w="2365"/>
            <w:vAlign w:val="center"/>
          </w:tcPr>
          <w:p>
            <w:pPr>
              <w:spacing w:line="252" w:lineRule="auto" w:after="80"/>
            </w:pPr>
            <w:r>
              <w:rPr>
                <w:sz w:val="18"/>
              </w:rPr>
              <w:t>2024–25</w:t>
            </w:r>
          </w:p>
        </w:tc>
        <w:tc>
          <w:tcPr>
            <w:tcW w:type="dxa" w:w="2365"/>
            <w:vAlign w:val="center"/>
          </w:tcPr>
          <w:p>
            <w:pPr>
              <w:spacing w:line="252" w:lineRule="auto" w:after="80"/>
            </w:pPr>
            <w:r>
              <w:rPr>
                <w:sz w:val="18"/>
              </w:rPr>
              <w:t>9.360</w:t>
            </w:r>
          </w:p>
        </w:tc>
        <w:tc>
          <w:tcPr>
            <w:tcW w:type="dxa" w:w="2365"/>
            <w:vAlign w:val="center"/>
          </w:tcPr>
          <w:p>
            <w:pPr>
              <w:spacing w:line="252" w:lineRule="auto" w:after="80"/>
            </w:pPr>
            <w:r>
              <w:rPr>
                <w:sz w:val="18"/>
              </w:rPr>
              <w:t>0.710</w:t>
            </w:r>
          </w:p>
        </w:tc>
        <w:tc>
          <w:tcPr>
            <w:tcW w:type="dxa" w:w="2365"/>
            <w:vAlign w:val="center"/>
          </w:tcPr>
          <w:p>
            <w:pPr>
              <w:spacing w:line="252" w:lineRule="auto" w:after="80"/>
            </w:pPr>
            <w:r>
              <w:rPr>
                <w:sz w:val="18"/>
              </w:rPr>
              <w:t>10.070</w:t>
            </w:r>
          </w:p>
        </w:tc>
      </w:tr>
      <w:tr>
        <w:trPr>
          <w:cantSplit/>
        </w:trPr>
        <w:tc>
          <w:tcPr>
            <w:tcW w:type="dxa" w:w="2365"/>
            <w:vAlign w:val="center"/>
          </w:tcPr>
          <w:p>
            <w:pPr>
              <w:spacing w:line="252" w:lineRule="auto" w:after="80"/>
            </w:pPr>
            <w:r>
              <w:rPr>
                <w:sz w:val="18"/>
              </w:rPr>
              <w:t>2025–26</w:t>
            </w:r>
          </w:p>
        </w:tc>
        <w:tc>
          <w:tcPr>
            <w:tcW w:type="dxa" w:w="2365"/>
            <w:vAlign w:val="center"/>
          </w:tcPr>
          <w:p>
            <w:pPr>
              <w:spacing w:line="252" w:lineRule="auto" w:after="80"/>
            </w:pPr>
            <w:r>
              <w:rPr>
                <w:sz w:val="18"/>
              </w:rPr>
              <w:t>9.295</w:t>
            </w:r>
          </w:p>
        </w:tc>
        <w:tc>
          <w:tcPr>
            <w:tcW w:type="dxa" w:w="2365"/>
            <w:vAlign w:val="center"/>
          </w:tcPr>
          <w:p>
            <w:pPr>
              <w:spacing w:line="252" w:lineRule="auto" w:after="80"/>
            </w:pPr>
            <w:r>
              <w:rPr>
                <w:sz w:val="18"/>
              </w:rPr>
              <w:t>0.850</w:t>
            </w:r>
          </w:p>
        </w:tc>
        <w:tc>
          <w:tcPr>
            <w:tcW w:type="dxa" w:w="2365"/>
            <w:vAlign w:val="center"/>
          </w:tcPr>
          <w:p>
            <w:pPr>
              <w:spacing w:line="252" w:lineRule="auto" w:after="80"/>
            </w:pPr>
            <w:r>
              <w:rPr>
                <w:sz w:val="18"/>
              </w:rPr>
              <w:t>10.145</w:t>
            </w:r>
          </w:p>
        </w:tc>
      </w:tr>
      <w:tr>
        <w:trPr>
          <w:cantSplit/>
        </w:trPr>
        <w:tc>
          <w:tcPr>
            <w:tcW w:type="dxa" w:w="2365"/>
            <w:vAlign w:val="center"/>
          </w:tcPr>
          <w:p>
            <w:pPr>
              <w:spacing w:line="252" w:lineRule="auto" w:after="80"/>
            </w:pPr>
            <w:r>
              <w:rPr>
                <w:sz w:val="18"/>
              </w:rPr>
              <w:t>2026–27</w:t>
            </w:r>
          </w:p>
        </w:tc>
        <w:tc>
          <w:tcPr>
            <w:tcW w:type="dxa" w:w="2365"/>
            <w:vAlign w:val="center"/>
          </w:tcPr>
          <w:p>
            <w:pPr>
              <w:spacing w:line="252" w:lineRule="auto" w:after="80"/>
            </w:pPr>
            <w:r>
              <w:rPr>
                <w:sz w:val="18"/>
              </w:rPr>
              <w:t>9.490</w:t>
            </w:r>
          </w:p>
        </w:tc>
        <w:tc>
          <w:tcPr>
            <w:tcW w:type="dxa" w:w="2365"/>
            <w:vAlign w:val="center"/>
          </w:tcPr>
          <w:p>
            <w:pPr>
              <w:spacing w:line="252" w:lineRule="auto" w:after="80"/>
            </w:pPr>
            <w:r>
              <w:rPr>
                <w:sz w:val="18"/>
              </w:rPr>
              <w:t>0.735</w:t>
            </w:r>
          </w:p>
        </w:tc>
        <w:tc>
          <w:tcPr>
            <w:tcW w:type="dxa" w:w="2365"/>
            <w:vAlign w:val="center"/>
          </w:tcPr>
          <w:p>
            <w:pPr>
              <w:spacing w:line="252" w:lineRule="auto" w:after="80"/>
            </w:pPr>
            <w:r>
              <w:rPr>
                <w:sz w:val="18"/>
              </w:rPr>
              <w:t>10.225</w:t>
            </w:r>
          </w:p>
        </w:tc>
      </w:tr>
      <w:tr>
        <w:trPr>
          <w:cantSplit/>
        </w:trPr>
        <w:tc>
          <w:tcPr>
            <w:tcW w:type="dxa" w:w="2365"/>
            <w:vAlign w:val="center"/>
          </w:tcPr>
          <w:p>
            <w:pPr>
              <w:spacing w:line="252" w:lineRule="auto" w:after="80"/>
            </w:pPr>
            <w:r>
              <w:rPr>
                <w:sz w:val="18"/>
              </w:rPr>
              <w:t>2027–28</w:t>
            </w:r>
          </w:p>
        </w:tc>
        <w:tc>
          <w:tcPr>
            <w:tcW w:type="dxa" w:w="2365"/>
            <w:vAlign w:val="center"/>
          </w:tcPr>
          <w:p>
            <w:pPr>
              <w:spacing w:line="252" w:lineRule="auto" w:after="80"/>
            </w:pPr>
            <w:r>
              <w:rPr>
                <w:sz w:val="18"/>
              </w:rPr>
              <w:t>9.705</w:t>
            </w:r>
          </w:p>
        </w:tc>
        <w:tc>
          <w:tcPr>
            <w:tcW w:type="dxa" w:w="2365"/>
            <w:vAlign w:val="center"/>
          </w:tcPr>
          <w:p>
            <w:pPr>
              <w:spacing w:line="252" w:lineRule="auto" w:after="80"/>
            </w:pPr>
            <w:r>
              <w:rPr>
                <w:sz w:val="18"/>
              </w:rPr>
              <w:t>0.740</w:t>
            </w:r>
          </w:p>
        </w:tc>
        <w:tc>
          <w:tcPr>
            <w:tcW w:type="dxa" w:w="2365"/>
            <w:vAlign w:val="center"/>
          </w:tcPr>
          <w:p>
            <w:pPr>
              <w:spacing w:line="252" w:lineRule="auto" w:after="80"/>
            </w:pPr>
            <w:r>
              <w:rPr>
                <w:sz w:val="18"/>
              </w:rPr>
              <w:t>10.445</w:t>
            </w:r>
          </w:p>
        </w:tc>
      </w:tr>
      <w:tr>
        <w:trPr>
          <w:cantSplit/>
        </w:trPr>
        <w:tc>
          <w:tcPr>
            <w:tcW w:type="dxa" w:w="2365"/>
            <w:vAlign w:val="center"/>
          </w:tcPr>
          <w:p>
            <w:pPr>
              <w:spacing w:line="252" w:lineRule="auto" w:after="80"/>
            </w:pPr>
            <w:r>
              <w:rPr>
                <w:sz w:val="18"/>
              </w:rPr>
              <w:t>2028–29</w:t>
            </w:r>
          </w:p>
        </w:tc>
        <w:tc>
          <w:tcPr>
            <w:tcW w:type="dxa" w:w="2365"/>
            <w:vAlign w:val="center"/>
          </w:tcPr>
          <w:p>
            <w:pPr>
              <w:spacing w:line="252" w:lineRule="auto" w:after="80"/>
            </w:pPr>
            <w:r>
              <w:rPr>
                <w:sz w:val="18"/>
              </w:rPr>
              <w:t>9.990</w:t>
            </w:r>
          </w:p>
        </w:tc>
        <w:tc>
          <w:tcPr>
            <w:tcW w:type="dxa" w:w="2365"/>
            <w:vAlign w:val="center"/>
          </w:tcPr>
          <w:p>
            <w:pPr>
              <w:spacing w:line="252" w:lineRule="auto" w:after="80"/>
            </w:pPr>
            <w:r>
              <w:rPr>
                <w:sz w:val="18"/>
              </w:rPr>
              <w:t>0.760</w:t>
            </w:r>
          </w:p>
        </w:tc>
        <w:tc>
          <w:tcPr>
            <w:tcW w:type="dxa" w:w="2365"/>
            <w:vAlign w:val="center"/>
          </w:tcPr>
          <w:p>
            <w:pPr>
              <w:spacing w:line="252" w:lineRule="auto" w:after="80"/>
            </w:pPr>
            <w:r>
              <w:rPr>
                <w:sz w:val="18"/>
              </w:rPr>
              <w:t>10.750</w:t>
            </w:r>
          </w:p>
        </w:tc>
      </w:tr>
    </w:tbl>
    <w:p/>
    <w:p>
      <w:pPr>
        <w:pStyle w:val="Caption"/>
      </w:pPr>
      <w:r>
        <w:t>Source: HMRC (2024), ‘Exchequer impact’; HM Treasury (2024a), Table 5.1. Published negative receipt impacts are displayed as positive costs. Class 4 compares 6% with the previously legislated 8%, not the earlier 9%. These figures exclude the separate November package.</w:t>
      </w:r>
    </w:p>
    <w:p>
      <w:r>
        <w:t>The OBR forecast only £8.9 billion of headroom against the debt-falling rule in 2028–29 and projected tax receipts of 37.1% of GDP that year (OBR, 2024a, executive summary). The figures describe different objects: headroom is a forecast margin against a rule, not cash available in an account, while the tax ratio concerns the entire revenue system. The annual NICs cost must therefore not be subtracted mechanically from that headroom, which already reflected announced policies.</w:t>
      </w:r>
    </w:p>
    <w:p>
      <w:r>
        <w:t>Nevertheless, a small remaining margin increases the importance of risk. Permanently lowering revenue creates an ongoing commitment, whereas favourable forecast revisions may be temporary. Higher borrowing costs or weaker receipts could require future tax increases, expenditure restraint or a revision to the rule. Compliance on a central projection establishes a conditional accounting result; resilience asks whether the plan can withstand plausible adverse developments without disruptive adjustment.</w:t>
      </w:r>
    </w:p>
    <w:p>
      <w:r>
        <w:t>Expenditure assumptions also matter. IFS warned that the post-election spending envelope would imply reductions in unprotected services under plausible assumptions (Adam et al., 2024, ‘Public spending’). This does not mean that each pound of NICs relief was matched to an identified service cut. Budgets are joint packages: choosing lower receipts reduces the room for spending, debt reduction or other tax changes. The relevant opportunity cost can exist even without an explicit earmarked funding line.</w:t>
      </w:r>
    </w:p>
    <w:p>
      <w:r>
        <w:t>A defensible financing strategy would identify credible recurrent offsets and test them against less favourable conditions. If the objective were to support participation, policymakers should also compare the NICs package with alternative uses of the same resources. The strongest conclusion is therefore conditional: the reform could fit the stated fiscal rules while weakening the buffer available to manage uncertainty. Its merits depended on accepting uneven relief and future budget constraints in exchange for a modest expected improvement in incentives.</w:t>
      </w:r>
    </w:p>
    <w:p>
      <w:r>
        <w:t>A simple stress-test framework would make this judgement more transparent. Policymakers could present three cases: the central behavioural response, a smaller response and no additional labour supply. Each would retain the mechanical tax relief while varying the associated receipts and spending feedback. A separate exercise would vary interest rates or nominal earnings growth. Such scenarios would clarify which risks arise from the tax instrument and which arise from the wider fiscal environment. This paper does not attach invented probabilities or monetary values to those cases; the point is to identify what a convincing claim of affordability should demonstrate.</w:t>
      </w:r>
    </w:p>
    <w:p>
      <w:r>
        <w:t>Revenue adequacy should also be evaluated over time. Temporary borrowing can smooth an adjustment, but it does not permanently replace a recurring revenue stream. If expenditure needs remain unchanged, a lasting reduction must ultimately be accommodated through other receipts, lower spending or a sustainable change in the debt path. The appropriate choice involves value judgements about public and private consumption. Presenting the tax cut as a gain without discussing those choices would leave the central budgeting problem unanswered.</w:t>
      </w:r>
    </w:p>
    <w:p>
      <w:pPr>
        <w:pStyle w:val="Heading1"/>
      </w:pPr>
      <w:r>
        <w:t>6. Discussion and Conclusion</w:t>
      </w:r>
    </w:p>
    <w:p>
      <w:r>
        <w:t>The four criteria yield a qualified answer to the research question. The reductions improved the financial return to work for earnings within the main band, and contemporary forecasts supported a positive labour-supply effect. They also delivered direct cash relief. However, those observations do not demonstrate that the policy maximised welfare, paid for itself or improved every household's circumstances. Each stronger claim would require additional evidence and an appropriate counterfactual.</w:t>
      </w:r>
    </w:p>
    <w:p>
      <w:r>
        <w:t>Distributional analysis shows why the baseline is decisive. At fixed earnings and thresholds, the employee gain rises to a capped amount; workers below the threshold receive nothing directly. When the wider personal tax path is considered, frozen thresholds offset relief for many taxpayers. A government can therefore cut a headline rate while continuing to collect more revenue than under an indexed alternative. Evaluating only one mechanism obscures the package's practical effects.</w:t>
      </w:r>
    </w:p>
    <w:p>
      <w:r>
        <w:t>The political and fiscal findings are similarly connected. A visible payroll reduction can support a coherent message about employment, while its ongoing revenue cost competes with less immediately visible demands on the budget. The electoral context strengthens the relevance of political analysis but does not establish an exclusively electoral motive. The limited fiscal margin indicates vulnerability to shocks, rather than proving that the reform immediately caused a fiscal crisis.</w:t>
      </w:r>
    </w:p>
    <w:p>
      <w:r>
        <w:t>Three policy implications follow from this assessment. First, budget documents should present rate changes alongside threshold policy using consistent baselines and household as well as individual illustrations. Second, recurring tax reductions should be supported by explicit funding assumptions and sensitivity analysis, including the implications for public services. Third, work-incentive claims should distinguish additional hours from additional people employed and compare broad rate cuts with more targeted alternatives at similar fiscal cost.</w:t>
      </w:r>
    </w:p>
    <w:p>
      <w:r>
        <w:t>The study's limitations also define the next research step. It relies on contemporary forecasts, selected illustrative calculations and documentary evidence; it does not estimate causal employment effects, household decile impacts or voter responses. An empirical follow-up would need administrative and household data, a credible comparison strategy and explicit treatment of subsequent policy changes. Its purpose would be to test the expected mechanisms rather than assume them.</w:t>
      </w:r>
    </w:p>
    <w:p>
      <w:r>
        <w:t>Overall, the UK's 2024 NICs reductions placed greater weight on rewarding taxable work and communicating immediate relief than on targeting those with the greatest needs or preserving a larger fiscal buffer. The policy had a plausible economic rationale, but its expected gains were purchased through real distributional and budgetary trade-offs. That mixed conclusion best fits the available evidence.</w:t>
      </w:r>
    </w:p>
    <w:p>
      <w:r>
        <w:br w:type="page"/>
      </w:r>
    </w:p>
    <w:p>
      <w:pPr>
        <w:pStyle w:val="Heading1"/>
      </w:pPr>
      <w:r>
        <w:t>References</w:t>
      </w:r>
    </w:p>
    <w:p>
      <w:pPr>
        <w:pStyle w:val="Caption"/>
      </w:pPr>
      <w:r>
        <w:t>Author–date referencing. All online sources accessed 25 October 2026. Source locators identify the relevant section or table; live pages may contain navigation or updates outside the historical scope.</w:t>
      </w:r>
    </w:p>
    <w:p>
      <w:pPr>
        <w:keepNext/>
      </w:pPr>
      <w:r>
        <w:t>Adam, S., Besley, T., Blundell, R., Bond, S., Chote, R., Gammie, M., Johnson, P., Mirrlees, J., Myles, G. and Poterba, J. M. (2011). The taxation of labour earnings. In Tax by Design, chapter 3. Institute for Fiscal Studies / Oxford University Press.</w:t>
      </w:r>
    </w:p>
    <w:p>
      <w:pPr>
        <w:spacing w:after="240"/>
      </w:pPr>
      <w:hyperlink r:id="rId11">
        <w:r>
          <w:rPr>
            <w:color w:val="0563C1"/>
            <w:u w:val="single"/>
          </w:rPr>
          <w:t>Open source</w:t>
        </w:r>
      </w:hyperlink>
      <w:r>
        <w:rPr>
          <w:sz w:val="20"/>
        </w:rPr>
        <w:t xml:space="preserve"> · Locator: chapter 3, especially the opening framework and discussion of participation and hours.</w:t>
      </w:r>
    </w:p>
    <w:p>
      <w:pPr>
        <w:keepNext/>
      </w:pPr>
      <w:r>
        <w:t>Adam, S., Emmerson, C., Johnson, P., Joyce, R., Miller, H., Stockton, I., Wernham, T. and Zaranko, B. (2024). Spring Budget 2024: initial IFS response. 6 March. Institute for Fiscal Studies. DOI: 10.1920/co.ifs.2024.0009.</w:t>
      </w:r>
    </w:p>
    <w:p>
      <w:pPr>
        <w:spacing w:after="240"/>
      </w:pPr>
      <w:hyperlink r:id="rId12">
        <w:r>
          <w:rPr>
            <w:color w:val="0563C1"/>
            <w:u w:val="single"/>
          </w:rPr>
          <w:t>Open source</w:t>
        </w:r>
      </w:hyperlink>
      <w:r>
        <w:rPr>
          <w:sz w:val="20"/>
        </w:rPr>
        <w:t xml:space="preserve"> · Locators: Cuts to National Insurance contributions; Public spending.</w:t>
      </w:r>
    </w:p>
    <w:p>
      <w:pPr>
        <w:keepNext/>
      </w:pPr>
      <w:r>
        <w:t>HM Revenue &amp; Customs [HMRC] (2023). A reduction in the main rates of Primary Class 1 and Class 4 National Insurance contributions and the removal of the requirement to pay Class 2 National Insurance contributions. 23 November.</w:t>
      </w:r>
    </w:p>
    <w:p>
      <w:pPr>
        <w:spacing w:after="240"/>
      </w:pPr>
      <w:hyperlink r:id="rId13">
        <w:r>
          <w:rPr>
            <w:color w:val="0563C1"/>
            <w:u w:val="single"/>
          </w:rPr>
          <w:t>Open source</w:t>
        </w:r>
      </w:hyperlink>
      <w:r>
        <w:rPr>
          <w:sz w:val="20"/>
        </w:rPr>
        <w:t xml:space="preserve"> · Locators: General description of the measure; Operative date; Detailed proposal.</w:t>
      </w:r>
    </w:p>
    <w:p>
      <w:pPr>
        <w:keepNext/>
      </w:pPr>
      <w:r>
        <w:t>HM Revenue &amp; Customs [HMRC] (2024). Reduction to the main rates of primary Class 1 and Class 4 National Insurance contributions. 7 March.</w:t>
      </w:r>
    </w:p>
    <w:p>
      <w:pPr>
        <w:spacing w:after="240"/>
      </w:pPr>
      <w:hyperlink r:id="rId14">
        <w:r>
          <w:rPr>
            <w:color w:val="0563C1"/>
            <w:u w:val="single"/>
          </w:rPr>
          <w:t>Open source</w:t>
        </w:r>
      </w:hyperlink>
      <w:r>
        <w:rPr>
          <w:sz w:val="20"/>
        </w:rPr>
        <w:t xml:space="preserve"> · Locators: Detailed proposal; Exchequer impact; Economic impact. The total Class 4 change from 9% to 6% is three percentage points; the incremental March change is two.</w:t>
      </w:r>
    </w:p>
    <w:p>
      <w:pPr>
        <w:keepNext/>
      </w:pPr>
      <w:r>
        <w:t>HM Treasury (2024a). Spring Budget 2024. HC 560. 6 March.</w:t>
      </w:r>
    </w:p>
    <w:p>
      <w:pPr>
        <w:spacing w:after="240"/>
      </w:pPr>
      <w:hyperlink r:id="rId15">
        <w:r>
          <w:rPr>
            <w:color w:val="0563C1"/>
            <w:u w:val="single"/>
          </w:rPr>
          <w:t>Open source</w:t>
        </w:r>
      </w:hyperlink>
      <w:r>
        <w:rPr>
          <w:sz w:val="20"/>
        </w:rPr>
        <w:t xml:space="preserve"> · Locators: Executive summary; Rewarding work; Table 5.1 (policy decisions), first two NICs rows.</w:t>
      </w:r>
    </w:p>
    <w:p>
      <w:pPr>
        <w:keepNext/>
      </w:pPr>
      <w:r>
        <w:t>HM Treasury (2024b). Spring Budget 2024 speech, delivered by Chancellor Jeremy Hunt. 6 March.</w:t>
      </w:r>
    </w:p>
    <w:p>
      <w:pPr>
        <w:spacing w:after="240"/>
      </w:pPr>
      <w:hyperlink r:id="rId16">
        <w:r>
          <w:rPr>
            <w:color w:val="0563C1"/>
            <w:u w:val="single"/>
          </w:rPr>
          <w:t>Open source</w:t>
        </w:r>
      </w:hyperlink>
      <w:r>
        <w:rPr>
          <w:sz w:val="20"/>
        </w:rPr>
        <w:t xml:space="preserve"> · Locator: discussion of permanent tax reductions, growth and the National Insurance announcement. Government statement, not independent impact evaluation.</w:t>
      </w:r>
    </w:p>
    <w:p>
      <w:pPr>
        <w:keepNext/>
      </w:pPr>
      <w:r>
        <w:t>House of Commons Library (2024a). National Insurance Contributions (Reduction in Rates) (No.2) Bill 2023–24. Research briefing CBP-9982. Antony Seely and Francesco Masala. 29 May.</w:t>
      </w:r>
    </w:p>
    <w:p>
      <w:pPr>
        <w:spacing w:after="240"/>
      </w:pPr>
      <w:hyperlink r:id="rId17">
        <w:r>
          <w:rPr>
            <w:color w:val="0563C1"/>
            <w:u w:val="single"/>
          </w:rPr>
          <w:t>Open source</w:t>
        </w:r>
      </w:hyperlink>
      <w:r>
        <w:rPr>
          <w:sz w:val="20"/>
        </w:rPr>
        <w:t xml:space="preserve"> · Locator: What is the purpose of the Bill? Used for legislative context; fiscal figures in this paper follow the original policy-costing table.</w:t>
      </w:r>
    </w:p>
    <w:p>
      <w:pPr>
        <w:keepNext/>
      </w:pPr>
      <w:r>
        <w:t>House of Commons Library (2024b). Parliament’s wash-up period before dissolution. Research briefing SN05398, 2024 election section.</w:t>
      </w:r>
    </w:p>
    <w:p>
      <w:pPr>
        <w:spacing w:after="240"/>
      </w:pPr>
      <w:hyperlink r:id="rId18">
        <w:r>
          <w:rPr>
            <w:color w:val="0563C1"/>
            <w:u w:val="single"/>
          </w:rPr>
          <w:t>Open source</w:t>
        </w:r>
      </w:hyperlink>
      <w:r>
        <w:rPr>
          <w:sz w:val="20"/>
        </w:rPr>
        <w:t xml:space="preserve"> · Locator: the 22 May 2024 announcement and 4 July election date. Live briefing may contain later updates.</w:t>
      </w:r>
    </w:p>
    <w:p>
      <w:pPr>
        <w:keepNext/>
      </w:pPr>
      <w:r>
        <w:t>Institute for Fiscal Studies [IFS] (n.d.). National Insurance contributions explained. IFS Taxlab.</w:t>
      </w:r>
    </w:p>
    <w:p>
      <w:pPr>
        <w:spacing w:after="240"/>
      </w:pPr>
      <w:hyperlink r:id="rId19">
        <w:r>
          <w:rPr>
            <w:color w:val="0563C1"/>
            <w:u w:val="single"/>
          </w:rPr>
          <w:t>Open source</w:t>
        </w:r>
      </w:hyperlink>
      <w:r>
        <w:rPr>
          <w:sz w:val="20"/>
        </w:rPr>
        <w:t xml:space="preserve"> · Locators: What incomes are subject to NICs?; Employee and employer NICs rates, thresholds and reliefs. Used for institutional structure, not current rates.</w:t>
      </w:r>
    </w:p>
    <w:p>
      <w:pPr>
        <w:keepNext/>
      </w:pPr>
      <w:r>
        <w:t>National Insurance Contributions (Reduction in Rates) Act 2024, c. 5. Royal Assent, 20 March 2024.</w:t>
      </w:r>
    </w:p>
    <w:p>
      <w:pPr>
        <w:spacing w:after="240"/>
      </w:pPr>
      <w:hyperlink r:id="rId20">
        <w:r>
          <w:rPr>
            <w:color w:val="0563C1"/>
            <w:u w:val="single"/>
          </w:rPr>
          <w:t>Open source</w:t>
        </w:r>
      </w:hyperlink>
      <w:r>
        <w:rPr>
          <w:sz w:val="20"/>
        </w:rPr>
        <w:t xml:space="preserve"> · Locator: enacted version, introduction and sections 1–2.</w:t>
      </w:r>
    </w:p>
    <w:p>
      <w:pPr>
        <w:keepNext/>
      </w:pPr>
      <w:r>
        <w:t>Office for Budget Responsibility [OBR] (2024a). Economic and fiscal outlook – March 2024. CP 1027. 6 March.</w:t>
      </w:r>
    </w:p>
    <w:p>
      <w:pPr>
        <w:spacing w:after="240"/>
      </w:pPr>
      <w:hyperlink r:id="rId21">
        <w:r>
          <w:rPr>
            <w:color w:val="0563C1"/>
            <w:u w:val="single"/>
          </w:rPr>
          <w:t>Open source</w:t>
        </w:r>
      </w:hyperlink>
      <w:r>
        <w:rPr>
          <w:sz w:val="20"/>
        </w:rPr>
        <w:t xml:space="preserve"> · Locators: Executive summary; chapter 3; chapter 5. Original PDF: https://obr.uk/docs/dlm_uploads/E03057758_OBR_EFO-March-2024_Web-AccessibleFinal.pdf</w:t>
      </w:r>
    </w:p>
    <w:p>
      <w:pPr>
        <w:keepNext/>
      </w:pPr>
      <w:r>
        <w:t>Office for Budget Responsibility [OBR] (2024b). The labour supply impacts of personal tax policies. Economic and fiscal outlook – March 2024, Box 3.2.</w:t>
      </w:r>
    </w:p>
    <w:p>
      <w:pPr>
        <w:spacing w:after="240"/>
      </w:pPr>
      <w:hyperlink r:id="rId22">
        <w:r>
          <w:rPr>
            <w:color w:val="0563C1"/>
            <w:u w:val="single"/>
          </w:rPr>
          <w:t>Open source</w:t>
        </w:r>
      </w:hyperlink>
      <w:r>
        <w:rPr>
          <w:sz w:val="20"/>
        </w:rPr>
        <w:t xml:space="preserve"> · Locator: March 2024 NICs cuts and combined November/March labour-supply estimates. This is a box in OBR (2024a), not a separate independent forecast.</w:t>
      </w:r>
    </w:p>
    <w:p>
      <w:r>
        <w:br w:type="page"/>
      </w:r>
    </w:p>
    <w:p>
      <w:pPr>
        <w:pStyle w:val="Heading1"/>
      </w:pPr>
      <w:r>
        <w:t>Appendix A. Evidence audit</w:t>
      </w:r>
    </w:p>
    <w:p>
      <w:r>
        <w:t>An audit trail for group checking. “Authors’ calculation” means arithmetic from stated assumptions, not a published empirical estimate. Forecasts describe expectations at the time of the policy.</w:t>
      </w:r>
    </w:p>
    <w:tbl>
      <w:tblPr>
        <w:tblStyle w:val="LightShading-Accent1"/>
        <w:tblW w:type="auto" w:w="0"/>
        <w:jc w:val="center"/>
        <w:tblLook w:firstColumn="1" w:firstRow="1" w:lastColumn="0" w:lastRow="0" w:noHBand="0" w:noVBand="1" w:val="04A0"/>
      </w:tblPr>
      <w:tblGrid>
        <w:gridCol w:w="2365"/>
        <w:gridCol w:w="2365"/>
        <w:gridCol w:w="2365"/>
        <w:gridCol w:w="2365"/>
      </w:tblGrid>
      <w:tr>
        <w:trPr>
          <w:tblHeader/>
          <w:cantSplit/>
        </w:trPr>
        <w:tc>
          <w:tcPr>
            <w:tcW w:type="dxa" w:w="2365"/>
            <w:vAlign w:val="center"/>
          </w:tcPr>
          <w:p>
            <w:pPr>
              <w:spacing w:line="252" w:lineRule="auto" w:after="80"/>
            </w:pPr>
            <w:r>
              <w:rPr>
                <w:sz w:val="18"/>
              </w:rPr>
              <w:t>Claim / figure</w:t>
            </w:r>
          </w:p>
        </w:tc>
        <w:tc>
          <w:tcPr>
            <w:tcW w:type="dxa" w:w="2365"/>
            <w:vAlign w:val="center"/>
          </w:tcPr>
          <w:p>
            <w:pPr>
              <w:spacing w:line="252" w:lineRule="auto" w:after="80"/>
            </w:pPr>
            <w:r>
              <w:rPr>
                <w:sz w:val="18"/>
              </w:rPr>
              <w:t>Source and locator</w:t>
            </w:r>
          </w:p>
        </w:tc>
        <w:tc>
          <w:tcPr>
            <w:tcW w:type="dxa" w:w="2365"/>
            <w:vAlign w:val="center"/>
          </w:tcPr>
          <w:p>
            <w:pPr>
              <w:spacing w:line="252" w:lineRule="auto" w:after="80"/>
            </w:pPr>
            <w:r>
              <w:rPr>
                <w:sz w:val="18"/>
              </w:rPr>
              <w:t>Evidence type</w:t>
            </w:r>
          </w:p>
        </w:tc>
        <w:tc>
          <w:tcPr>
            <w:tcW w:type="dxa" w:w="2365"/>
            <w:vAlign w:val="center"/>
          </w:tcPr>
          <w:p>
            <w:pPr>
              <w:spacing w:line="252" w:lineRule="auto" w:after="80"/>
            </w:pPr>
            <w:r>
              <w:rPr>
                <w:sz w:val="18"/>
              </w:rPr>
              <w:t>Interpretation / limit</w:t>
            </w:r>
          </w:p>
        </w:tc>
      </w:tr>
      <w:tr>
        <w:trPr>
          <w:cantSplit/>
        </w:trPr>
        <w:tc>
          <w:tcPr>
            <w:tcW w:type="dxa" w:w="2365"/>
            <w:vAlign w:val="center"/>
          </w:tcPr>
          <w:p>
            <w:pPr>
              <w:spacing w:line="252" w:lineRule="auto" w:after="80"/>
            </w:pPr>
            <w:r>
              <w:rPr>
                <w:sz w:val="18"/>
              </w:rPr>
              <w:t>Employee 12% → 10% from 6 January 2024</w:t>
            </w:r>
          </w:p>
        </w:tc>
        <w:tc>
          <w:tcPr>
            <w:tcW w:type="dxa" w:w="2365"/>
            <w:vAlign w:val="center"/>
          </w:tcPr>
          <w:p>
            <w:pPr>
              <w:spacing w:line="252" w:lineRule="auto" w:after="80"/>
            </w:pPr>
            <w:r>
              <w:rPr>
                <w:sz w:val="18"/>
              </w:rPr>
              <w:t>HMRC (2023), description / operative date</w:t>
            </w:r>
          </w:p>
        </w:tc>
        <w:tc>
          <w:tcPr>
            <w:tcW w:type="dxa" w:w="2365"/>
            <w:vAlign w:val="center"/>
          </w:tcPr>
          <w:p>
            <w:pPr>
              <w:spacing w:line="252" w:lineRule="auto" w:after="80"/>
            </w:pPr>
            <w:r>
              <w:rPr>
                <w:sz w:val="18"/>
              </w:rPr>
              <w:t>Official policy fact</w:t>
            </w:r>
          </w:p>
        </w:tc>
        <w:tc>
          <w:tcPr>
            <w:tcW w:type="dxa" w:w="2365"/>
            <w:vAlign w:val="center"/>
          </w:tcPr>
          <w:p>
            <w:pPr>
              <w:spacing w:line="252" w:lineRule="auto" w:after="80"/>
            </w:pPr>
            <w:r>
              <w:rPr>
                <w:sz w:val="18"/>
              </w:rPr>
              <w:t>First announcement was in November 2023.</w:t>
            </w:r>
          </w:p>
        </w:tc>
      </w:tr>
      <w:tr>
        <w:trPr>
          <w:cantSplit/>
        </w:trPr>
        <w:tc>
          <w:tcPr>
            <w:tcW w:type="dxa" w:w="2365"/>
            <w:vAlign w:val="center"/>
          </w:tcPr>
          <w:p>
            <w:pPr>
              <w:spacing w:line="252" w:lineRule="auto" w:after="80"/>
            </w:pPr>
            <w:r>
              <w:rPr>
                <w:sz w:val="18"/>
              </w:rPr>
              <w:t>Employee 10% → 8%; final Class 4 rate 6% from 6 April</w:t>
            </w:r>
          </w:p>
        </w:tc>
        <w:tc>
          <w:tcPr>
            <w:tcW w:type="dxa" w:w="2365"/>
            <w:vAlign w:val="center"/>
          </w:tcPr>
          <w:p>
            <w:pPr>
              <w:spacing w:line="252" w:lineRule="auto" w:after="80"/>
            </w:pPr>
            <w:r>
              <w:rPr>
                <w:sz w:val="18"/>
              </w:rPr>
              <w:t>HMRC (2024), detailed proposal; enacted 2024 Act</w:t>
            </w:r>
          </w:p>
        </w:tc>
        <w:tc>
          <w:tcPr>
            <w:tcW w:type="dxa" w:w="2365"/>
            <w:vAlign w:val="center"/>
          </w:tcPr>
          <w:p>
            <w:pPr>
              <w:spacing w:line="252" w:lineRule="auto" w:after="80"/>
            </w:pPr>
            <w:r>
              <w:rPr>
                <w:sz w:val="18"/>
              </w:rPr>
              <w:t>Official policy / law</w:t>
            </w:r>
          </w:p>
        </w:tc>
        <w:tc>
          <w:tcPr>
            <w:tcW w:type="dxa" w:w="2365"/>
            <w:vAlign w:val="center"/>
          </w:tcPr>
          <w:p>
            <w:pPr>
              <w:spacing w:line="252" w:lineRule="auto" w:after="80"/>
            </w:pPr>
            <w:r>
              <w:rPr>
                <w:sz w:val="18"/>
              </w:rPr>
              <w:t>Class 4 total change is 9% → 6%; March-only is 8% → 6%.</w:t>
            </w:r>
          </w:p>
        </w:tc>
      </w:tr>
      <w:tr>
        <w:trPr>
          <w:cantSplit/>
        </w:trPr>
        <w:tc>
          <w:tcPr>
            <w:tcW w:type="dxa" w:w="2365"/>
            <w:vAlign w:val="center"/>
          </w:tcPr>
          <w:p>
            <w:pPr>
              <w:spacing w:line="252" w:lineRule="auto" w:after="80"/>
            </w:pPr>
            <w:r>
              <w:rPr>
                <w:sz w:val="18"/>
              </w:rPr>
              <w:t>£456.60 / £913.20 at earnings of £35,400</w:t>
            </w:r>
          </w:p>
        </w:tc>
        <w:tc>
          <w:tcPr>
            <w:tcW w:type="dxa" w:w="2365"/>
            <w:vAlign w:val="center"/>
          </w:tcPr>
          <w:p>
            <w:pPr>
              <w:spacing w:line="252" w:lineRule="auto" w:after="80"/>
            </w:pPr>
            <w:r>
              <w:rPr>
                <w:sz w:val="18"/>
              </w:rPr>
              <w:t>Table 2 formula; HMRC (2023, 2024); Treasury (2024a)</w:t>
            </w:r>
          </w:p>
        </w:tc>
        <w:tc>
          <w:tcPr>
            <w:tcW w:type="dxa" w:w="2365"/>
            <w:vAlign w:val="center"/>
          </w:tcPr>
          <w:p>
            <w:pPr>
              <w:spacing w:line="252" w:lineRule="auto" w:after="80"/>
            </w:pPr>
            <w:r>
              <w:rPr>
                <w:sz w:val="18"/>
              </w:rPr>
              <w:t>Authors’ calculation</w:t>
            </w:r>
          </w:p>
        </w:tc>
        <w:tc>
          <w:tcPr>
            <w:tcW w:type="dxa" w:w="2365"/>
            <w:vAlign w:val="center"/>
          </w:tcPr>
          <w:p>
            <w:pPr>
              <w:spacing w:line="252" w:lineRule="auto" w:after="80"/>
            </w:pPr>
            <w:r>
              <w:rPr>
                <w:sz w:val="18"/>
              </w:rPr>
              <w:t>Annualised March-only / combined gain; fixed earnings, single job, stable pay.</w:t>
            </w:r>
          </w:p>
        </w:tc>
      </w:tr>
      <w:tr>
        <w:trPr>
          <w:cantSplit/>
        </w:trPr>
        <w:tc>
          <w:tcPr>
            <w:tcW w:type="dxa" w:w="2365"/>
            <w:vAlign w:val="center"/>
          </w:tcPr>
          <w:p>
            <w:pPr>
              <w:spacing w:line="252" w:lineRule="auto" w:after="80"/>
            </w:pPr>
            <w:r>
              <w:rPr>
                <w:sz w:val="18"/>
              </w:rPr>
              <w:t>£754 / £1,508 maximum annualised employee saving</w:t>
            </w:r>
          </w:p>
        </w:tc>
        <w:tc>
          <w:tcPr>
            <w:tcW w:type="dxa" w:w="2365"/>
            <w:vAlign w:val="center"/>
          </w:tcPr>
          <w:p>
            <w:pPr>
              <w:spacing w:line="252" w:lineRule="auto" w:after="80"/>
            </w:pPr>
            <w:r>
              <w:rPr>
                <w:sz w:val="18"/>
              </w:rPr>
              <w:t>Table 2: £37,700 × 0.02 / 0.04</w:t>
            </w:r>
          </w:p>
        </w:tc>
        <w:tc>
          <w:tcPr>
            <w:tcW w:type="dxa" w:w="2365"/>
            <w:vAlign w:val="center"/>
          </w:tcPr>
          <w:p>
            <w:pPr>
              <w:spacing w:line="252" w:lineRule="auto" w:after="80"/>
            </w:pPr>
            <w:r>
              <w:rPr>
                <w:sz w:val="18"/>
              </w:rPr>
              <w:t>Authors’ calculation</w:t>
            </w:r>
          </w:p>
        </w:tc>
        <w:tc>
          <w:tcPr>
            <w:tcW w:type="dxa" w:w="2365"/>
            <w:vAlign w:val="center"/>
          </w:tcPr>
          <w:p>
            <w:pPr>
              <w:spacing w:line="252" w:lineRule="auto" w:after="80"/>
            </w:pPr>
            <w:r>
              <w:rPr>
                <w:sz w:val="18"/>
              </w:rPr>
              <w:t>Saving stops increasing above upper earnings limit; not a marginal rate cut above it.</w:t>
            </w:r>
          </w:p>
        </w:tc>
      </w:tr>
      <w:tr>
        <w:trPr>
          <w:cantSplit/>
        </w:trPr>
        <w:tc>
          <w:tcPr>
            <w:tcW w:type="dxa" w:w="2365"/>
            <w:vAlign w:val="center"/>
          </w:tcPr>
          <w:p>
            <w:pPr>
              <w:spacing w:line="252" w:lineRule="auto" w:after="80"/>
            </w:pPr>
            <w:r>
              <w:rPr>
                <w:sz w:val="18"/>
              </w:rPr>
              <w:t>98,000 / 199,000 FTEs by 2028–29</w:t>
            </w:r>
          </w:p>
        </w:tc>
        <w:tc>
          <w:tcPr>
            <w:tcW w:type="dxa" w:w="2365"/>
            <w:vAlign w:val="center"/>
          </w:tcPr>
          <w:p>
            <w:pPr>
              <w:spacing w:line="252" w:lineRule="auto" w:after="80"/>
            </w:pPr>
            <w:r>
              <w:rPr>
                <w:sz w:val="18"/>
              </w:rPr>
              <w:t>OBR (2024b), Box 3.2</w:t>
            </w:r>
          </w:p>
        </w:tc>
        <w:tc>
          <w:tcPr>
            <w:tcW w:type="dxa" w:w="2365"/>
            <w:vAlign w:val="center"/>
          </w:tcPr>
          <w:p>
            <w:pPr>
              <w:spacing w:line="252" w:lineRule="auto" w:after="80"/>
            </w:pPr>
            <w:r>
              <w:rPr>
                <w:sz w:val="18"/>
              </w:rPr>
              <w:t>Contemporaneous model forecast</w:t>
            </w:r>
          </w:p>
        </w:tc>
        <w:tc>
          <w:tcPr>
            <w:tcW w:type="dxa" w:w="2365"/>
            <w:vAlign w:val="center"/>
          </w:tcPr>
          <w:p>
            <w:pPr>
              <w:spacing w:line="252" w:lineRule="auto" w:after="80"/>
            </w:pPr>
            <w:r>
              <w:rPr>
                <w:sz w:val="18"/>
              </w:rPr>
              <w:t>March / combined cuts; aggregate hours, not new-job headcounts.</w:t>
            </w:r>
          </w:p>
        </w:tc>
      </w:tr>
      <w:tr>
        <w:trPr>
          <w:cantSplit/>
        </w:trPr>
        <w:tc>
          <w:tcPr>
            <w:tcW w:type="dxa" w:w="2365"/>
            <w:vAlign w:val="center"/>
          </w:tcPr>
          <w:p>
            <w:pPr>
              <w:spacing w:line="252" w:lineRule="auto" w:after="80"/>
            </w:pPr>
            <w:r>
              <w:rPr>
                <w:sz w:val="18"/>
              </w:rPr>
              <w:t>0.2% increase in potential output</w:t>
            </w:r>
          </w:p>
        </w:tc>
        <w:tc>
          <w:tcPr>
            <w:tcW w:type="dxa" w:w="2365"/>
            <w:vAlign w:val="center"/>
          </w:tcPr>
          <w:p>
            <w:pPr>
              <w:spacing w:line="252" w:lineRule="auto" w:after="80"/>
            </w:pPr>
            <w:r>
              <w:rPr>
                <w:sz w:val="18"/>
              </w:rPr>
              <w:t>HMRC (2024), Economic impact</w:t>
            </w:r>
          </w:p>
        </w:tc>
        <w:tc>
          <w:tcPr>
            <w:tcW w:type="dxa" w:w="2365"/>
            <w:vAlign w:val="center"/>
          </w:tcPr>
          <w:p>
            <w:pPr>
              <w:spacing w:line="252" w:lineRule="auto" w:after="80"/>
            </w:pPr>
            <w:r>
              <w:rPr>
                <w:sz w:val="18"/>
              </w:rPr>
              <w:t>Reported OBR forecast</w:t>
            </w:r>
          </w:p>
        </w:tc>
        <w:tc>
          <w:tcPr>
            <w:tcW w:type="dxa" w:w="2365"/>
            <w:vAlign w:val="center"/>
          </w:tcPr>
          <w:p>
            <w:pPr>
              <w:spacing w:line="252" w:lineRule="auto" w:after="80"/>
            </w:pPr>
            <w:r>
              <w:rPr>
                <w:sz w:val="18"/>
              </w:rPr>
              <w:t>March measure at forecast horizon; not annual growth or realised output.</w:t>
            </w:r>
          </w:p>
        </w:tc>
      </w:tr>
      <w:tr>
        <w:trPr>
          <w:cantSplit/>
        </w:trPr>
        <w:tc>
          <w:tcPr>
            <w:tcW w:type="dxa" w:w="2365"/>
            <w:vAlign w:val="center"/>
          </w:tcPr>
          <w:p>
            <w:pPr>
              <w:spacing w:line="252" w:lineRule="auto" w:after="80"/>
            </w:pPr>
            <w:r>
              <w:rPr>
                <w:sz w:val="18"/>
              </w:rPr>
              <w:t>£1.30 / £1.90 threshold effect for each £1 NICs relief</w:t>
            </w:r>
          </w:p>
        </w:tc>
        <w:tc>
          <w:tcPr>
            <w:tcW w:type="dxa" w:w="2365"/>
            <w:vAlign w:val="center"/>
          </w:tcPr>
          <w:p>
            <w:pPr>
              <w:spacing w:line="252" w:lineRule="auto" w:after="80"/>
            </w:pPr>
            <w:r>
              <w:rPr>
                <w:sz w:val="18"/>
              </w:rPr>
              <w:t>Adam et al. (2024), NICs section</w:t>
            </w:r>
          </w:p>
        </w:tc>
        <w:tc>
          <w:tcPr>
            <w:tcW w:type="dxa" w:w="2365"/>
            <w:vAlign w:val="center"/>
          </w:tcPr>
          <w:p>
            <w:pPr>
              <w:spacing w:line="252" w:lineRule="auto" w:after="80"/>
            </w:pPr>
            <w:r>
              <w:rPr>
                <w:sz w:val="18"/>
              </w:rPr>
              <w:t>Independent comparative assessment</w:t>
            </w:r>
          </w:p>
        </w:tc>
        <w:tc>
          <w:tcPr>
            <w:tcW w:type="dxa" w:w="2365"/>
            <w:vAlign w:val="center"/>
          </w:tcPr>
          <w:p>
            <w:pPr>
              <w:spacing w:line="252" w:lineRule="auto" w:after="80"/>
            </w:pPr>
            <w:r>
              <w:rPr>
                <w:sz w:val="18"/>
              </w:rPr>
              <w:t>Aggregate wider policy comparison for 2024 / 2027; not every taxpayer’s ratio.</w:t>
            </w:r>
          </w:p>
        </w:tc>
      </w:tr>
      <w:tr>
        <w:trPr>
          <w:cantSplit/>
        </w:trPr>
        <w:tc>
          <w:tcPr>
            <w:tcW w:type="dxa" w:w="2365"/>
            <w:vAlign w:val="center"/>
          </w:tcPr>
          <w:p>
            <w:pPr>
              <w:spacing w:line="252" w:lineRule="auto" w:after="80"/>
            </w:pPr>
            <w:r>
              <w:rPr>
                <w:sz w:val="18"/>
              </w:rPr>
              <w:t>14 million / 9 million employee net winners</w:t>
            </w:r>
          </w:p>
        </w:tc>
        <w:tc>
          <w:tcPr>
            <w:tcW w:type="dxa" w:w="2365"/>
            <w:vAlign w:val="center"/>
          </w:tcPr>
          <w:p>
            <w:pPr>
              <w:spacing w:line="252" w:lineRule="auto" w:after="80"/>
            </w:pPr>
            <w:r>
              <w:rPr>
                <w:sz w:val="18"/>
              </w:rPr>
              <w:t>Adam et al. (2024), NICs section</w:t>
            </w:r>
          </w:p>
        </w:tc>
        <w:tc>
          <w:tcPr>
            <w:tcW w:type="dxa" w:w="2365"/>
            <w:vAlign w:val="center"/>
          </w:tcPr>
          <w:p>
            <w:pPr>
              <w:spacing w:line="252" w:lineRule="auto" w:after="80"/>
            </w:pPr>
            <w:r>
              <w:rPr>
                <w:sz w:val="18"/>
              </w:rPr>
              <w:t>Independent assessment / projection</w:t>
            </w:r>
          </w:p>
        </w:tc>
        <w:tc>
          <w:tcPr>
            <w:tcW w:type="dxa" w:w="2365"/>
            <w:vAlign w:val="center"/>
          </w:tcPr>
          <w:p>
            <w:pPr>
              <w:spacing w:line="252" w:lineRule="auto" w:after="80"/>
            </w:pPr>
            <w:r>
              <w:rPr>
                <w:sz w:val="18"/>
              </w:rPr>
              <w:t>2024–25 / 2027–28; includes personal tax changes since 2021.</w:t>
            </w:r>
          </w:p>
        </w:tc>
      </w:tr>
      <w:tr>
        <w:trPr>
          <w:cantSplit/>
        </w:trPr>
        <w:tc>
          <w:tcPr>
            <w:tcW w:type="dxa" w:w="2365"/>
            <w:vAlign w:val="center"/>
          </w:tcPr>
          <w:p>
            <w:pPr>
              <w:spacing w:line="252" w:lineRule="auto" w:after="80"/>
            </w:pPr>
            <w:r>
              <w:rPr>
                <w:sz w:val="18"/>
              </w:rPr>
              <w:t>£10.070bn / £10.750bn direct cost</w:t>
            </w:r>
          </w:p>
        </w:tc>
        <w:tc>
          <w:tcPr>
            <w:tcW w:type="dxa" w:w="2365"/>
            <w:vAlign w:val="center"/>
          </w:tcPr>
          <w:p>
            <w:pPr>
              <w:spacing w:line="252" w:lineRule="auto" w:after="80"/>
            </w:pPr>
            <w:r>
              <w:rPr>
                <w:sz w:val="18"/>
              </w:rPr>
              <w:t>HMRC (2024), Exchequer impact; Treasury Table 5.1</w:t>
            </w:r>
          </w:p>
        </w:tc>
        <w:tc>
          <w:tcPr>
            <w:tcW w:type="dxa" w:w="2365"/>
            <w:vAlign w:val="center"/>
          </w:tcPr>
          <w:p>
            <w:pPr>
              <w:spacing w:line="252" w:lineRule="auto" w:after="80"/>
            </w:pPr>
            <w:r>
              <w:rPr>
                <w:sz w:val="18"/>
              </w:rPr>
              <w:t>Official policy costing; row sum</w:t>
            </w:r>
          </w:p>
        </w:tc>
        <w:tc>
          <w:tcPr>
            <w:tcW w:type="dxa" w:w="2365"/>
            <w:vAlign w:val="center"/>
          </w:tcPr>
          <w:p>
            <w:pPr>
              <w:spacing w:line="252" w:lineRule="auto" w:after="80"/>
            </w:pPr>
            <w:r>
              <w:rPr>
                <w:sz w:val="18"/>
              </w:rPr>
              <w:t>2024–25 / 2028–29; March package only; not whole-budget borrowing.</w:t>
            </w:r>
          </w:p>
        </w:tc>
      </w:tr>
      <w:tr>
        <w:trPr>
          <w:cantSplit/>
        </w:trPr>
        <w:tc>
          <w:tcPr>
            <w:tcW w:type="dxa" w:w="2365"/>
            <w:vAlign w:val="center"/>
          </w:tcPr>
          <w:p>
            <w:pPr>
              <w:spacing w:line="252" w:lineRule="auto" w:after="80"/>
            </w:pPr>
            <w:r>
              <w:rPr>
                <w:sz w:val="18"/>
              </w:rPr>
              <w:t>£51.635bn five-year direct cost</w:t>
            </w:r>
          </w:p>
        </w:tc>
        <w:tc>
          <w:tcPr>
            <w:tcW w:type="dxa" w:w="2365"/>
            <w:vAlign w:val="center"/>
          </w:tcPr>
          <w:p>
            <w:pPr>
              <w:spacing w:line="252" w:lineRule="auto" w:after="80"/>
            </w:pPr>
            <w:r>
              <w:rPr>
                <w:sz w:val="18"/>
              </w:rPr>
              <w:t>Authors’ sum of Table 3</w:t>
            </w:r>
          </w:p>
        </w:tc>
        <w:tc>
          <w:tcPr>
            <w:tcW w:type="dxa" w:w="2365"/>
            <w:vAlign w:val="center"/>
          </w:tcPr>
          <w:p>
            <w:pPr>
              <w:spacing w:line="252" w:lineRule="auto" w:after="80"/>
            </w:pPr>
            <w:r>
              <w:rPr>
                <w:sz w:val="18"/>
              </w:rPr>
              <w:t>Authors’ calculation</w:t>
            </w:r>
          </w:p>
        </w:tc>
        <w:tc>
          <w:tcPr>
            <w:tcW w:type="dxa" w:w="2365"/>
            <w:vAlign w:val="center"/>
          </w:tcPr>
          <w:p>
            <w:pPr>
              <w:spacing w:line="252" w:lineRule="auto" w:after="80"/>
            </w:pPr>
            <w:r>
              <w:rPr>
                <w:sz w:val="18"/>
              </w:rPr>
              <w:t>Nominal sum, 2024–25 through 2028–29; not discounted present value.</w:t>
            </w:r>
          </w:p>
        </w:tc>
      </w:tr>
      <w:tr>
        <w:trPr>
          <w:cantSplit/>
        </w:trPr>
        <w:tc>
          <w:tcPr>
            <w:tcW w:type="dxa" w:w="2365"/>
            <w:vAlign w:val="center"/>
          </w:tcPr>
          <w:p>
            <w:pPr>
              <w:spacing w:line="252" w:lineRule="auto" w:after="80"/>
            </w:pPr>
            <w:r>
              <w:rPr>
                <w:sz w:val="18"/>
              </w:rPr>
              <w:t>£8.9bn fiscal headroom; 37.1% tax/GDP</w:t>
            </w:r>
          </w:p>
        </w:tc>
        <w:tc>
          <w:tcPr>
            <w:tcW w:type="dxa" w:w="2365"/>
            <w:vAlign w:val="center"/>
          </w:tcPr>
          <w:p>
            <w:pPr>
              <w:spacing w:line="252" w:lineRule="auto" w:after="80"/>
            </w:pPr>
            <w:r>
              <w:rPr>
                <w:sz w:val="18"/>
              </w:rPr>
              <w:t>OBR (2024a), executive summary</w:t>
            </w:r>
          </w:p>
        </w:tc>
        <w:tc>
          <w:tcPr>
            <w:tcW w:type="dxa" w:w="2365"/>
            <w:vAlign w:val="center"/>
          </w:tcPr>
          <w:p>
            <w:pPr>
              <w:spacing w:line="252" w:lineRule="auto" w:after="80"/>
            </w:pPr>
            <w:r>
              <w:rPr>
                <w:sz w:val="18"/>
              </w:rPr>
              <w:t>Contemporaneous fiscal forecast</w:t>
            </w:r>
          </w:p>
        </w:tc>
        <w:tc>
          <w:tcPr>
            <w:tcW w:type="dxa" w:w="2365"/>
            <w:vAlign w:val="center"/>
          </w:tcPr>
          <w:p>
            <w:pPr>
              <w:spacing w:line="252" w:lineRule="auto" w:after="80"/>
            </w:pPr>
            <w:r>
              <w:rPr>
                <w:sz w:val="18"/>
              </w:rPr>
              <w:t>2028–29; already includes announced policy; not available cash.</w:t>
            </w:r>
          </w:p>
        </w:tc>
      </w:tr>
      <w:tr>
        <w:trPr>
          <w:cantSplit/>
        </w:trPr>
        <w:tc>
          <w:tcPr>
            <w:tcW w:type="dxa" w:w="2365"/>
            <w:vAlign w:val="center"/>
          </w:tcPr>
          <w:p>
            <w:pPr>
              <w:spacing w:line="252" w:lineRule="auto" w:after="80"/>
            </w:pPr>
            <w:r>
              <w:rPr>
                <w:sz w:val="18"/>
              </w:rPr>
              <w:t>22 May announcement / 4 July election</w:t>
            </w:r>
          </w:p>
        </w:tc>
        <w:tc>
          <w:tcPr>
            <w:tcW w:type="dxa" w:w="2365"/>
            <w:vAlign w:val="center"/>
          </w:tcPr>
          <w:p>
            <w:pPr>
              <w:spacing w:line="252" w:lineRule="auto" w:after="80"/>
            </w:pPr>
            <w:r>
              <w:rPr>
                <w:sz w:val="18"/>
              </w:rPr>
              <w:t>Commons Library (2024b), 2024 section</w:t>
            </w:r>
          </w:p>
        </w:tc>
        <w:tc>
          <w:tcPr>
            <w:tcW w:type="dxa" w:w="2365"/>
            <w:vAlign w:val="center"/>
          </w:tcPr>
          <w:p>
            <w:pPr>
              <w:spacing w:line="252" w:lineRule="auto" w:after="80"/>
            </w:pPr>
            <w:r>
              <w:rPr>
                <w:sz w:val="18"/>
              </w:rPr>
              <w:t>Historical chronology</w:t>
            </w:r>
          </w:p>
        </w:tc>
        <w:tc>
          <w:tcPr>
            <w:tcW w:type="dxa" w:w="2365"/>
            <w:vAlign w:val="center"/>
          </w:tcPr>
          <w:p>
            <w:pPr>
              <w:spacing w:line="252" w:lineRule="auto" w:after="80"/>
            </w:pPr>
            <w:r>
              <w:rPr>
                <w:sz w:val="18"/>
              </w:rPr>
              <w:t>Context does not establish private motives or electoral effects.</w:t>
            </w:r>
          </w:p>
        </w:tc>
      </w:tr>
    </w:tbl>
    <w:p/>
    <w:p>
      <w:pPr>
        <w:pStyle w:val="Heading2"/>
      </w:pPr>
      <w:r>
        <w:t>Calculation checks</w:t>
      </w:r>
    </w:p>
    <w:p>
      <w:r>
        <w:t>Main-rate width: £50,270 − £12,570 = £37,700.</w:t>
      </w:r>
    </w:p>
    <w:p>
      <w:r>
        <w:t>£35,400 example: (£35,400 − £12,570) × 0.04 = £913.20.</w:t>
      </w:r>
    </w:p>
    <w:p>
      <w:r>
        <w:t>March 2024–25 cost: £9.360bn + £0.710bn = £10.070bn.</w:t>
      </w:r>
    </w:p>
    <w:p>
      <w:r>
        <w:t>Five-year cost: £10.070bn + £10.145bn + £10.225bn + £10.445bn + £10.750bn = £51.635bn.</w:t>
      </w:r>
    </w:p>
    <w:p>
      <w:r>
        <w:t>Fiscal-drag example: (£12,570 × 1.05 − £12,570) × 0.20 = £125.70. Inflation of 5% is hypothetical.</w:t>
      </w:r>
    </w:p>
    <w:p>
      <w:r>
        <w:br w:type="page"/>
      </w:r>
    </w:p>
    <w:p>
      <w:pPr>
        <w:pStyle w:val="Heading1"/>
      </w:pPr>
      <w:r>
        <w:t>Appendix B. Group allocation and use notes</w:t>
      </w:r>
    </w:p>
    <w:p>
      <w:pPr>
        <w:pStyle w:val="Heading2"/>
      </w:pPr>
      <w:r>
        <w:t>分工对照（沿用附件 A–I 编号）</w:t>
      </w:r>
    </w:p>
    <w:p>
      <w:r>
        <w:t>下表用于把完整稿对应到附件分工，不代表这些成员已经完成了相关工作。姓名和实际贡献由小组填写；分工及字数为建议，不是已知的教师正式要求。</w:t>
      </w:r>
    </w:p>
    <w:tbl>
      <w:tblPr>
        <w:tblStyle w:val="LightShading-Accent1"/>
        <w:tblW w:type="auto" w:w="0"/>
        <w:jc w:val="center"/>
        <w:tblLook w:firstColumn="1" w:firstRow="1" w:lastColumn="0" w:lastRow="0" w:noHBand="0" w:noVBand="1" w:val="04A0"/>
      </w:tblPr>
      <w:tblGrid>
        <w:gridCol w:w="3154"/>
        <w:gridCol w:w="3154"/>
        <w:gridCol w:w="3154"/>
      </w:tblGrid>
      <w:tr>
        <w:trPr>
          <w:tblHeader/>
          <w:cantSplit/>
        </w:trPr>
        <w:tc>
          <w:tcPr>
            <w:tcW w:type="dxa" w:w="3154"/>
            <w:vAlign w:val="center"/>
          </w:tcPr>
          <w:p>
            <w:pPr>
              <w:spacing w:line="252" w:lineRule="auto" w:after="80"/>
            </w:pPr>
            <w:r>
              <w:rPr>
                <w:sz w:val="18"/>
              </w:rPr>
              <w:t>Member</w:t>
            </w:r>
          </w:p>
        </w:tc>
        <w:tc>
          <w:tcPr>
            <w:tcW w:type="dxa" w:w="3154"/>
            <w:vAlign w:val="center"/>
          </w:tcPr>
          <w:p>
            <w:pPr>
              <w:spacing w:line="252" w:lineRule="auto" w:after="80"/>
            </w:pPr>
            <w:r>
              <w:rPr>
                <w:sz w:val="18"/>
              </w:rPr>
              <w:t>Draft responsibility</w:t>
            </w:r>
          </w:p>
        </w:tc>
        <w:tc>
          <w:tcPr>
            <w:tcW w:type="dxa" w:w="3154"/>
            <w:vAlign w:val="center"/>
          </w:tcPr>
          <w:p>
            <w:pPr>
              <w:spacing w:line="252" w:lineRule="auto" w:after="80"/>
            </w:pPr>
            <w:r>
              <w:rPr>
                <w:sz w:val="18"/>
              </w:rPr>
              <w:t>Priority verification</w:t>
            </w:r>
          </w:p>
        </w:tc>
      </w:tr>
      <w:tr>
        <w:trPr>
          <w:cantSplit/>
        </w:trPr>
        <w:tc>
          <w:tcPr>
            <w:tcW w:type="dxa" w:w="3154"/>
            <w:vAlign w:val="center"/>
          </w:tcPr>
          <w:p>
            <w:pPr>
              <w:spacing w:line="252" w:lineRule="auto" w:after="80"/>
            </w:pPr>
            <w:r>
              <w:rPr>
                <w:sz w:val="18"/>
              </w:rPr>
              <w:t>A</w:t>
            </w:r>
          </w:p>
        </w:tc>
        <w:tc>
          <w:tcPr>
            <w:tcW w:type="dxa" w:w="3154"/>
            <w:vAlign w:val="center"/>
          </w:tcPr>
          <w:p>
            <w:pPr>
              <w:spacing w:line="252" w:lineRule="auto" w:after="80"/>
            </w:pPr>
            <w:r>
              <w:rPr>
                <w:sz w:val="18"/>
              </w:rPr>
              <w:t>Section 1; research question and coordination</w:t>
            </w:r>
          </w:p>
        </w:tc>
        <w:tc>
          <w:tcPr>
            <w:tcW w:type="dxa" w:w="3154"/>
            <w:vAlign w:val="center"/>
          </w:tcPr>
          <w:p>
            <w:pPr>
              <w:spacing w:line="252" w:lineRule="auto" w:after="80"/>
            </w:pPr>
            <w:r>
              <w:rPr>
                <w:sz w:val="18"/>
              </w:rPr>
              <w:t>Check that all sections answer the same question.</w:t>
            </w:r>
          </w:p>
        </w:tc>
      </w:tr>
      <w:tr>
        <w:trPr>
          <w:cantSplit/>
        </w:trPr>
        <w:tc>
          <w:tcPr>
            <w:tcW w:type="dxa" w:w="3154"/>
            <w:vAlign w:val="center"/>
          </w:tcPr>
          <w:p>
            <w:pPr>
              <w:spacing w:line="252" w:lineRule="auto" w:after="80"/>
            </w:pPr>
            <w:r>
              <w:rPr>
                <w:sz w:val="18"/>
              </w:rPr>
              <w:t>B</w:t>
            </w:r>
          </w:p>
        </w:tc>
        <w:tc>
          <w:tcPr>
            <w:tcW w:type="dxa" w:w="3154"/>
            <w:vAlign w:val="center"/>
          </w:tcPr>
          <w:p>
            <w:pPr>
              <w:spacing w:line="252" w:lineRule="auto" w:after="80"/>
            </w:pPr>
            <w:r>
              <w:rPr>
                <w:sz w:val="18"/>
              </w:rPr>
              <w:t>Section 2; Table 1</w:t>
            </w:r>
          </w:p>
        </w:tc>
        <w:tc>
          <w:tcPr>
            <w:tcW w:type="dxa" w:w="3154"/>
            <w:vAlign w:val="center"/>
          </w:tcPr>
          <w:p>
            <w:pPr>
              <w:spacing w:line="252" w:lineRule="auto" w:after="80"/>
            </w:pPr>
            <w:r>
              <w:rPr>
                <w:sz w:val="18"/>
              </w:rPr>
              <w:t>Verify dates, rates and announcement/implementation distinction.</w:t>
            </w:r>
          </w:p>
        </w:tc>
      </w:tr>
      <w:tr>
        <w:trPr>
          <w:cantSplit/>
        </w:trPr>
        <w:tc>
          <w:tcPr>
            <w:tcW w:type="dxa" w:w="3154"/>
            <w:vAlign w:val="center"/>
          </w:tcPr>
          <w:p>
            <w:pPr>
              <w:spacing w:line="252" w:lineRule="auto" w:after="80"/>
            </w:pPr>
            <w:r>
              <w:rPr>
                <w:sz w:val="18"/>
              </w:rPr>
              <w:t>C</w:t>
            </w:r>
          </w:p>
        </w:tc>
        <w:tc>
          <w:tcPr>
            <w:tcW w:type="dxa" w:w="3154"/>
            <w:vAlign w:val="center"/>
          </w:tcPr>
          <w:p>
            <w:pPr>
              <w:spacing w:line="252" w:lineRule="auto" w:after="80"/>
            </w:pPr>
            <w:r>
              <w:rPr>
                <w:sz w:val="18"/>
              </w:rPr>
              <w:t>Sections 3.1 and 3.3; incentive mechanisms</w:t>
            </w:r>
          </w:p>
        </w:tc>
        <w:tc>
          <w:tcPr>
            <w:tcW w:type="dxa" w:w="3154"/>
            <w:vAlign w:val="center"/>
          </w:tcPr>
          <w:p>
            <w:pPr>
              <w:spacing w:line="252" w:lineRule="auto" w:after="80"/>
            </w:pPr>
            <w:r>
              <w:rPr>
                <w:sz w:val="18"/>
              </w:rPr>
              <w:t>Check marginal vs average effects and the illustrative Laffer arithmetic.</w:t>
            </w:r>
          </w:p>
        </w:tc>
      </w:tr>
      <w:tr>
        <w:trPr>
          <w:cantSplit/>
        </w:trPr>
        <w:tc>
          <w:tcPr>
            <w:tcW w:type="dxa" w:w="3154"/>
            <w:vAlign w:val="center"/>
          </w:tcPr>
          <w:p>
            <w:pPr>
              <w:spacing w:line="252" w:lineRule="auto" w:after="80"/>
            </w:pPr>
            <w:r>
              <w:rPr>
                <w:sz w:val="18"/>
              </w:rPr>
              <w:t>D</w:t>
            </w:r>
          </w:p>
        </w:tc>
        <w:tc>
          <w:tcPr>
            <w:tcW w:type="dxa" w:w="3154"/>
            <w:vAlign w:val="center"/>
          </w:tcPr>
          <w:p>
            <w:pPr>
              <w:spacing w:line="252" w:lineRule="auto" w:after="80"/>
            </w:pPr>
            <w:r>
              <w:rPr>
                <w:sz w:val="18"/>
              </w:rPr>
              <w:t>Section 3.2; economic forecast evidence</w:t>
            </w:r>
          </w:p>
        </w:tc>
        <w:tc>
          <w:tcPr>
            <w:tcW w:type="dxa" w:w="3154"/>
            <w:vAlign w:val="center"/>
          </w:tcPr>
          <w:p>
            <w:pPr>
              <w:spacing w:line="252" w:lineRule="auto" w:after="80"/>
            </w:pPr>
            <w:r>
              <w:rPr>
                <w:sz w:val="18"/>
              </w:rPr>
              <w:t>Verify OBR Box 3.2; retain FTE and forecast labels.</w:t>
            </w:r>
          </w:p>
        </w:tc>
      </w:tr>
      <w:tr>
        <w:trPr>
          <w:cantSplit/>
        </w:trPr>
        <w:tc>
          <w:tcPr>
            <w:tcW w:type="dxa" w:w="3154"/>
            <w:vAlign w:val="center"/>
          </w:tcPr>
          <w:p>
            <w:pPr>
              <w:spacing w:line="252" w:lineRule="auto" w:after="80"/>
            </w:pPr>
            <w:r>
              <w:rPr>
                <w:sz w:val="18"/>
              </w:rPr>
              <w:t>E</w:t>
            </w:r>
          </w:p>
        </w:tc>
        <w:tc>
          <w:tcPr>
            <w:tcW w:type="dxa" w:w="3154"/>
            <w:vAlign w:val="center"/>
          </w:tcPr>
          <w:p>
            <w:pPr>
              <w:spacing w:line="252" w:lineRule="auto" w:after="80"/>
            </w:pPr>
            <w:r>
              <w:rPr>
                <w:sz w:val="18"/>
              </w:rPr>
              <w:t>Section 4.1; Table 2</w:t>
            </w:r>
          </w:p>
        </w:tc>
        <w:tc>
          <w:tcPr>
            <w:tcW w:type="dxa" w:w="3154"/>
            <w:vAlign w:val="center"/>
          </w:tcPr>
          <w:p>
            <w:pPr>
              <w:spacing w:line="252" w:lineRule="auto" w:after="80"/>
            </w:pPr>
            <w:r>
              <w:rPr>
                <w:sz w:val="18"/>
              </w:rPr>
              <w:t>Recalculate examples; do not label them income deciles.</w:t>
            </w:r>
          </w:p>
        </w:tc>
      </w:tr>
      <w:tr>
        <w:trPr>
          <w:cantSplit/>
        </w:trPr>
        <w:tc>
          <w:tcPr>
            <w:tcW w:type="dxa" w:w="3154"/>
            <w:vAlign w:val="center"/>
          </w:tcPr>
          <w:p>
            <w:pPr>
              <w:spacing w:line="252" w:lineRule="auto" w:after="80"/>
            </w:pPr>
            <w:r>
              <w:rPr>
                <w:sz w:val="18"/>
              </w:rPr>
              <w:t>F</w:t>
            </w:r>
          </w:p>
        </w:tc>
        <w:tc>
          <w:tcPr>
            <w:tcW w:type="dxa" w:w="3154"/>
            <w:vAlign w:val="center"/>
          </w:tcPr>
          <w:p>
            <w:pPr>
              <w:spacing w:line="252" w:lineRule="auto" w:after="80"/>
            </w:pPr>
            <w:r>
              <w:rPr>
                <w:sz w:val="18"/>
              </w:rPr>
              <w:t>Section 4.2; fiscal drag</w:t>
            </w:r>
          </w:p>
        </w:tc>
        <w:tc>
          <w:tcPr>
            <w:tcW w:type="dxa" w:w="3154"/>
            <w:vAlign w:val="center"/>
          </w:tcPr>
          <w:p>
            <w:pPr>
              <w:spacing w:line="252" w:lineRule="auto" w:after="80"/>
            </w:pPr>
            <w:r>
              <w:rPr>
                <w:sz w:val="18"/>
              </w:rPr>
              <w:t>Check the indexed baseline and IFS forecast years.</w:t>
            </w:r>
          </w:p>
        </w:tc>
      </w:tr>
      <w:tr>
        <w:trPr>
          <w:cantSplit/>
        </w:trPr>
        <w:tc>
          <w:tcPr>
            <w:tcW w:type="dxa" w:w="3154"/>
            <w:vAlign w:val="center"/>
          </w:tcPr>
          <w:p>
            <w:pPr>
              <w:spacing w:line="252" w:lineRule="auto" w:after="80"/>
            </w:pPr>
            <w:r>
              <w:rPr>
                <w:sz w:val="18"/>
              </w:rPr>
              <w:t>G</w:t>
            </w:r>
          </w:p>
        </w:tc>
        <w:tc>
          <w:tcPr>
            <w:tcW w:type="dxa" w:w="3154"/>
            <w:vAlign w:val="center"/>
          </w:tcPr>
          <w:p>
            <w:pPr>
              <w:spacing w:line="252" w:lineRule="auto" w:after="80"/>
            </w:pPr>
            <w:r>
              <w:rPr>
                <w:sz w:val="18"/>
              </w:rPr>
              <w:t>Section 5.1; political economy</w:t>
            </w:r>
          </w:p>
        </w:tc>
        <w:tc>
          <w:tcPr>
            <w:tcW w:type="dxa" w:w="3154"/>
            <w:vAlign w:val="center"/>
          </w:tcPr>
          <w:p>
            <w:pPr>
              <w:spacing w:line="252" w:lineRule="auto" w:after="80"/>
            </w:pPr>
            <w:r>
              <w:rPr>
                <w:sz w:val="18"/>
              </w:rPr>
              <w:t>Distinguish documented statements from inferred political appeal.</w:t>
            </w:r>
          </w:p>
        </w:tc>
      </w:tr>
      <w:tr>
        <w:trPr>
          <w:cantSplit/>
        </w:trPr>
        <w:tc>
          <w:tcPr>
            <w:tcW w:type="dxa" w:w="3154"/>
            <w:vAlign w:val="center"/>
          </w:tcPr>
          <w:p>
            <w:pPr>
              <w:spacing w:line="252" w:lineRule="auto" w:after="80"/>
            </w:pPr>
            <w:r>
              <w:rPr>
                <w:sz w:val="18"/>
              </w:rPr>
              <w:t>H</w:t>
            </w:r>
          </w:p>
        </w:tc>
        <w:tc>
          <w:tcPr>
            <w:tcW w:type="dxa" w:w="3154"/>
            <w:vAlign w:val="center"/>
          </w:tcPr>
          <w:p>
            <w:pPr>
              <w:spacing w:line="252" w:lineRule="auto" w:after="80"/>
            </w:pPr>
            <w:r>
              <w:rPr>
                <w:sz w:val="18"/>
              </w:rPr>
              <w:t>Section 5.2; Table 3</w:t>
            </w:r>
          </w:p>
        </w:tc>
        <w:tc>
          <w:tcPr>
            <w:tcW w:type="dxa" w:w="3154"/>
            <w:vAlign w:val="center"/>
          </w:tcPr>
          <w:p>
            <w:pPr>
              <w:spacing w:line="252" w:lineRule="auto" w:after="80"/>
            </w:pPr>
            <w:r>
              <w:rPr>
                <w:sz w:val="18"/>
              </w:rPr>
              <w:t>Check the direct policy costs and headroom interpretation.</w:t>
            </w:r>
          </w:p>
        </w:tc>
      </w:tr>
      <w:tr>
        <w:trPr>
          <w:cantSplit/>
        </w:trPr>
        <w:tc>
          <w:tcPr>
            <w:tcW w:type="dxa" w:w="3154"/>
            <w:vAlign w:val="center"/>
          </w:tcPr>
          <w:p>
            <w:pPr>
              <w:spacing w:line="252" w:lineRule="auto" w:after="80"/>
            </w:pPr>
            <w:r>
              <w:rPr>
                <w:sz w:val="18"/>
              </w:rPr>
              <w:t>I</w:t>
            </w:r>
          </w:p>
        </w:tc>
        <w:tc>
          <w:tcPr>
            <w:tcW w:type="dxa" w:w="3154"/>
            <w:vAlign w:val="center"/>
          </w:tcPr>
          <w:p>
            <w:pPr>
              <w:spacing w:line="252" w:lineRule="auto" w:after="80"/>
            </w:pPr>
            <w:r>
              <w:rPr>
                <w:sz w:val="18"/>
              </w:rPr>
              <w:t>Section 6; integration and reference audit</w:t>
            </w:r>
          </w:p>
        </w:tc>
        <w:tc>
          <w:tcPr>
            <w:tcW w:type="dxa" w:w="3154"/>
            <w:vAlign w:val="center"/>
          </w:tcPr>
          <w:p>
            <w:pPr>
              <w:spacing w:line="252" w:lineRule="auto" w:after="80"/>
            </w:pPr>
            <w:r>
              <w:rPr>
                <w:sz w:val="18"/>
              </w:rPr>
              <w:t>Remove inconsistencies; verify links and final requirements.</w:t>
            </w:r>
          </w:p>
        </w:tc>
      </w:tr>
    </w:tbl>
    <w:p/>
    <w:p>
      <w:pPr>
        <w:pStyle w:val="Heading2"/>
      </w:pPr>
      <w:r>
        <w:t>使用说明</w:t>
      </w:r>
    </w:p>
    <w:p>
      <w:r>
        <w:t>本文件按附件建议形成完整英文论文稿，正文叙述约 3,800 词，另含三张表格、参考文献及证据附录；它不是单纯的提纲或分工计划。</w:t>
      </w:r>
    </w:p>
    <w:p>
      <w:r>
        <w:t>“solid evidence”落实为原始政策文件、OBR 当时预测、IFS 独立分析、可复算示例及来源定位。预测不等于已经实现的效果；本文没有虚构访谈、调查、回归结果或真实组员贡献。</w:t>
      </w:r>
    </w:p>
    <w:p>
      <w:r>
        <w:t>附件中的进度、演讲安排和建议性分工仅作为背景；没有将附件中的建议当作用户已经确认的额外指令。本文不包括 PPT。</w:t>
      </w:r>
    </w:p>
    <w:p>
      <w:r>
        <w:t>附件没有提供正式 rubric、确定字数规则、组员姓名或课程讲义。参考文献采用 author–date 格式；提交前按教师正式要求调整封面、字数统计和引用格式。正文没有假称引用未提供的 Week 4–5 讲义。</w:t>
      </w:r>
    </w:p>
    <w:p>
      <w:r>
        <w:t>本稿集中评估 2024 年政策设计及当时预期；没有把后续年份的英国税率或其他预算措施倒推到 2024 年。</w:t>
      </w:r>
    </w:p>
    <w:p>
      <w:r>
        <w:t>参考文献中的动态网页用于核对对应的历史文献或制度特征；相关新政策、导航内容和后续更新不属于本研究证据范围。</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PIA6302  |  Public Budgeting and the Management of Financial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324" w:lineRule="auto"/>
    </w:pPr>
    <w:rPr>
      <w:rFonts w:ascii="Times New Roman" w:hAnsi="Times New Roman" w:eastAsia="SimSu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fs.org.uk/books/3-taxation-labour-earnings" TargetMode="External"/><Relationship Id="rId12" Type="http://schemas.openxmlformats.org/officeDocument/2006/relationships/hyperlink" Target="https://ifs.org.uk/articles/spring-budget-2024-initial-ifs-response" TargetMode="External"/><Relationship Id="rId13" Type="http://schemas.openxmlformats.org/officeDocument/2006/relationships/hyperlink" Target="https://www.gov.uk/government/publications/changes-to-national-insurance-contributions-from-6-january-2024/a-reduction-in-the-main-rates-of-primary-class-1-and-class-4-national-insurance-contributions-and-the-removal-of-the-requirement-to-pay-class-2-nation" TargetMode="External"/><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spring-budget-2024-html" TargetMode="External"/><Relationship Id="rId16" Type="http://schemas.openxmlformats.org/officeDocument/2006/relationships/hyperlink" Target="https://www.gov.uk/government/speeches/spring-budget-2024-speech" TargetMode="External"/><Relationship Id="rId17" Type="http://schemas.openxmlformats.org/officeDocument/2006/relationships/hyperlink" Target="https://commonslibrary.parliament.uk/research-briefings/cbp-9982/" TargetMode="External"/><Relationship Id="rId18" Type="http://schemas.openxmlformats.org/officeDocument/2006/relationships/hyperlink" Target="https://commonslibrary.parliament.uk/research-briefings/sn05398/" TargetMode="External"/><Relationship Id="rId19" Type="http://schemas.openxmlformats.org/officeDocument/2006/relationships/hyperlink" Target="https://ifs.org.uk/taxlab/taxlab-taxes-explained/national-insurance-contributions-explained" TargetMode="External"/><Relationship Id="rId20" Type="http://schemas.openxmlformats.org/officeDocument/2006/relationships/hyperlink" Target="https://www.legislation.gov.uk/ukpga/2024/5/introduction/enacted" TargetMode="External"/><Relationship Id="rId21" Type="http://schemas.openxmlformats.org/officeDocument/2006/relationships/hyperlink" Target="https://obr.uk/efo/economic-and-fiscal-outlook-march-2024/" TargetMode="External"/><Relationship Id="rId22" Type="http://schemas.openxmlformats.org/officeDocument/2006/relationships/hyperlink" Target="https://obr.uk/box/the-labour-supply-impacts-of-personal-tax-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