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Q1</w:t>
      </w:r>
    </w:p>
    <w:p>
      <w:pPr>
        <w:pStyle w:val="Heading1"/>
      </w:pPr>
      <w:r>
        <w:t>1 电力曳引式升降机 / Electric traction lift</w:t>
      </w:r>
    </w:p>
    <w:p>
      <w:r>
        <w:t>典型电力曳引式升降机由驱动电动机带动曳引轮，通过曳引轮与悬吊绳之间的摩擦传递驱动力，使轿厢与对重反向移动。对重平衡轿厢及部分载荷重量，因此驱动电动机主要克服不平衡负载和摩擦。以下以有齿轮式布置说明。</w:t>
      </w:r>
    </w:p>
    <w:p>
      <w:r>
        <w:t>A typical electric traction lift uses a drive motor to turn a drive sheave. Friction between the drive sheave and suspension rope moves the car and counterweight in opposite directions. The counterweight balances the car and part of its load, so the drive motor mainly overcomes the unbalanced load and friction. The arrangement described here is geared.</w:t>
      </w:r>
    </w:p>
    <w:tbl>
      <w:tblPr>
        <w:tblStyle w:val="TableGrid"/>
        <w:tblW w:type="auto" w:w="0"/>
        <w:tblLayout w:type="fixed"/>
        <w:tblLook w:firstColumn="1" w:firstRow="1" w:lastColumn="0" w:lastRow="0" w:noHBand="0" w:noVBand="1" w:val="04A0"/>
      </w:tblPr>
      <w:tblGrid>
        <w:gridCol w:w="3175"/>
        <w:gridCol w:w="2835"/>
        <w:gridCol w:w="4309"/>
      </w:tblGrid>
      <w:tr>
        <w:trPr>
          <w:tblHeader/>
        </w:trPr>
        <w:tc>
          <w:tcPr>
            <w:tcW w:type="dxa" w:w="3175"/>
            <w:shd w:fill="E5EDF3"/>
          </w:tcPr>
          <w:p>
            <w:r>
              <w:t>主要部件 / Major component</w:t>
            </w:r>
          </w:p>
        </w:tc>
        <w:tc>
          <w:tcPr>
            <w:tcW w:type="dxa" w:w="2835"/>
            <w:shd w:fill="E5EDF3"/>
          </w:tcPr>
          <w:p>
            <w:r>
              <w:t>功能</w:t>
            </w:r>
          </w:p>
        </w:tc>
        <w:tc>
          <w:tcPr>
            <w:tcW w:type="dxa" w:w="4309"/>
            <w:shd w:fill="E5EDF3"/>
          </w:tcPr>
          <w:p>
            <w:r>
              <w:t>Operational function</w:t>
            </w:r>
          </w:p>
        </w:tc>
      </w:tr>
      <w:tr>
        <w:trPr>
          <w:cantSplit/>
        </w:trPr>
        <w:tc>
          <w:tcPr>
            <w:tcW w:type="dxa" w:w="3175"/>
          </w:tcPr>
          <w:p>
            <w:pPr>
              <w:spacing w:before="40" w:after="60" w:line="252" w:lineRule="auto"/>
            </w:pPr>
            <w:r>
              <w:rPr>
                <w:sz w:val="19"/>
              </w:rPr>
              <w:t>驱动电动机</w:t>
              <w:br/>
              <w:t>Drive motor</w:t>
            </w:r>
          </w:p>
        </w:tc>
        <w:tc>
          <w:tcPr>
            <w:tcW w:type="dxa" w:w="2835"/>
          </w:tcPr>
          <w:p>
            <w:pPr>
              <w:spacing w:before="40" w:after="60" w:line="252" w:lineRule="auto"/>
            </w:pPr>
            <w:r>
              <w:rPr>
                <w:sz w:val="19"/>
              </w:rPr>
              <w:t>提供升降机运行的动力。</w:t>
            </w:r>
          </w:p>
        </w:tc>
        <w:tc>
          <w:tcPr>
            <w:tcW w:type="dxa" w:w="4309"/>
          </w:tcPr>
          <w:p>
            <w:pPr>
              <w:spacing w:before="40" w:after="60" w:line="252" w:lineRule="auto"/>
            </w:pPr>
            <w:r>
              <w:rPr>
                <w:sz w:val="19"/>
              </w:rPr>
              <w:t>Supplies power to operate the lift.</w:t>
            </w:r>
          </w:p>
        </w:tc>
      </w:tr>
      <w:tr>
        <w:trPr>
          <w:cantSplit/>
        </w:trPr>
        <w:tc>
          <w:tcPr>
            <w:tcW w:type="dxa" w:w="3175"/>
          </w:tcPr>
          <w:p>
            <w:pPr>
              <w:spacing w:before="40" w:after="60" w:line="252" w:lineRule="auto"/>
            </w:pPr>
            <w:r>
              <w:rPr>
                <w:sz w:val="19"/>
              </w:rPr>
              <w:t>齿轮箱</w:t>
              <w:br/>
              <w:t>Gear box</w:t>
            </w:r>
          </w:p>
        </w:tc>
        <w:tc>
          <w:tcPr>
            <w:tcW w:type="dxa" w:w="2835"/>
          </w:tcPr>
          <w:p>
            <w:pPr>
              <w:spacing w:before="40" w:after="60" w:line="252" w:lineRule="auto"/>
            </w:pPr>
            <w:r>
              <w:rPr>
                <w:sz w:val="19"/>
              </w:rPr>
              <w:t>降低驱动电动机转速，并把转矩传递至曳引轮。</w:t>
            </w:r>
          </w:p>
        </w:tc>
        <w:tc>
          <w:tcPr>
            <w:tcW w:type="dxa" w:w="4309"/>
          </w:tcPr>
          <w:p>
            <w:pPr>
              <w:spacing w:before="40" w:after="60" w:line="252" w:lineRule="auto"/>
            </w:pPr>
            <w:r>
              <w:rPr>
                <w:sz w:val="19"/>
              </w:rPr>
              <w:t>Reduces drive motor speed and transmits torque to the drive sheave.</w:t>
            </w:r>
          </w:p>
        </w:tc>
      </w:tr>
      <w:tr>
        <w:trPr>
          <w:cantSplit/>
        </w:trPr>
        <w:tc>
          <w:tcPr>
            <w:tcW w:type="dxa" w:w="3175"/>
          </w:tcPr>
          <w:p>
            <w:pPr>
              <w:spacing w:before="40" w:after="60" w:line="252" w:lineRule="auto"/>
            </w:pPr>
            <w:r>
              <w:rPr>
                <w:sz w:val="19"/>
              </w:rPr>
              <w:t>曳引轮</w:t>
              <w:br/>
              <w:t>Drive sheave</w:t>
            </w:r>
          </w:p>
        </w:tc>
        <w:tc>
          <w:tcPr>
            <w:tcW w:type="dxa" w:w="2835"/>
          </w:tcPr>
          <w:p>
            <w:pPr>
              <w:spacing w:before="40" w:after="60" w:line="252" w:lineRule="auto"/>
            </w:pPr>
            <w:r>
              <w:rPr>
                <w:sz w:val="19"/>
              </w:rPr>
              <w:t>通过与悬吊绳之间的摩擦传递驱动力。</w:t>
            </w:r>
          </w:p>
        </w:tc>
        <w:tc>
          <w:tcPr>
            <w:tcW w:type="dxa" w:w="4309"/>
          </w:tcPr>
          <w:p>
            <w:pPr>
              <w:spacing w:before="40" w:after="60" w:line="252" w:lineRule="auto"/>
            </w:pPr>
            <w:r>
              <w:rPr>
                <w:sz w:val="19"/>
              </w:rPr>
              <w:t>Transmits driving force through friction with the suspension rope.</w:t>
            </w:r>
          </w:p>
        </w:tc>
      </w:tr>
      <w:tr>
        <w:trPr>
          <w:cantSplit/>
        </w:trPr>
        <w:tc>
          <w:tcPr>
            <w:tcW w:type="dxa" w:w="3175"/>
          </w:tcPr>
          <w:p>
            <w:pPr>
              <w:spacing w:before="40" w:after="60" w:line="252" w:lineRule="auto"/>
            </w:pPr>
            <w:r>
              <w:rPr>
                <w:sz w:val="19"/>
              </w:rPr>
              <w:t>悬吊绳</w:t>
              <w:br/>
              <w:t>Suspension rope</w:t>
            </w:r>
          </w:p>
        </w:tc>
        <w:tc>
          <w:tcPr>
            <w:tcW w:type="dxa" w:w="2835"/>
          </w:tcPr>
          <w:p>
            <w:pPr>
              <w:spacing w:before="40" w:after="60" w:line="252" w:lineRule="auto"/>
            </w:pPr>
            <w:r>
              <w:rPr>
                <w:sz w:val="19"/>
              </w:rPr>
              <w:t>连接并悬吊轿厢和对重，使两者反向移动。</w:t>
            </w:r>
          </w:p>
        </w:tc>
        <w:tc>
          <w:tcPr>
            <w:tcW w:type="dxa" w:w="4309"/>
          </w:tcPr>
          <w:p>
            <w:pPr>
              <w:spacing w:before="40" w:after="60" w:line="252" w:lineRule="auto"/>
            </w:pPr>
            <w:r>
              <w:rPr>
                <w:sz w:val="19"/>
              </w:rPr>
              <w:t>Connects and suspends the car and counterweight so that they move in opposite directions.</w:t>
            </w:r>
          </w:p>
        </w:tc>
      </w:tr>
      <w:tr>
        <w:trPr>
          <w:cantSplit/>
        </w:trPr>
        <w:tc>
          <w:tcPr>
            <w:tcW w:type="dxa" w:w="3175"/>
          </w:tcPr>
          <w:p>
            <w:pPr>
              <w:spacing w:before="40" w:after="60" w:line="252" w:lineRule="auto"/>
            </w:pPr>
            <w:r>
              <w:rPr>
                <w:sz w:val="19"/>
              </w:rPr>
              <w:t>轿厢</w:t>
              <w:br/>
              <w:t>Car</w:t>
            </w:r>
          </w:p>
        </w:tc>
        <w:tc>
          <w:tcPr>
            <w:tcW w:type="dxa" w:w="2835"/>
          </w:tcPr>
          <w:p>
            <w:pPr>
              <w:spacing w:before="40" w:after="60" w:line="252" w:lineRule="auto"/>
            </w:pPr>
            <w:r>
              <w:rPr>
                <w:sz w:val="19"/>
              </w:rPr>
              <w:t>承载乘客或货物。</w:t>
            </w:r>
          </w:p>
        </w:tc>
        <w:tc>
          <w:tcPr>
            <w:tcW w:type="dxa" w:w="4309"/>
          </w:tcPr>
          <w:p>
            <w:pPr>
              <w:spacing w:before="40" w:after="60" w:line="252" w:lineRule="auto"/>
            </w:pPr>
            <w:r>
              <w:rPr>
                <w:sz w:val="19"/>
              </w:rPr>
              <w:t>Carries passengers or goods.</w:t>
            </w:r>
          </w:p>
        </w:tc>
      </w:tr>
      <w:tr>
        <w:trPr>
          <w:cantSplit/>
        </w:trPr>
        <w:tc>
          <w:tcPr>
            <w:tcW w:type="dxa" w:w="3175"/>
          </w:tcPr>
          <w:p>
            <w:pPr>
              <w:spacing w:before="40" w:after="60" w:line="252" w:lineRule="auto"/>
            </w:pPr>
            <w:r>
              <w:rPr>
                <w:sz w:val="19"/>
              </w:rPr>
              <w:t>对重</w:t>
              <w:br/>
              <w:t>Counterweight</w:t>
            </w:r>
          </w:p>
        </w:tc>
        <w:tc>
          <w:tcPr>
            <w:tcW w:type="dxa" w:w="2835"/>
          </w:tcPr>
          <w:p>
            <w:pPr>
              <w:spacing w:before="40" w:after="60" w:line="252" w:lineRule="auto"/>
            </w:pPr>
            <w:r>
              <w:rPr>
                <w:sz w:val="19"/>
              </w:rPr>
              <w:t>平衡轿厢及部分载荷重量，减少驱动电动机需要克服的不平衡负载。</w:t>
            </w:r>
          </w:p>
        </w:tc>
        <w:tc>
          <w:tcPr>
            <w:tcW w:type="dxa" w:w="4309"/>
          </w:tcPr>
          <w:p>
            <w:pPr>
              <w:spacing w:before="40" w:after="60" w:line="252" w:lineRule="auto"/>
            </w:pPr>
            <w:r>
              <w:rPr>
                <w:sz w:val="19"/>
              </w:rPr>
              <w:t>Balances the car and part of its load, reducing the unbalanced load that the drive motor must overcome.</w:t>
            </w:r>
          </w:p>
        </w:tc>
      </w:tr>
      <w:tr>
        <w:trPr>
          <w:cantSplit/>
        </w:trPr>
        <w:tc>
          <w:tcPr>
            <w:tcW w:type="dxa" w:w="3175"/>
          </w:tcPr>
          <w:p>
            <w:pPr>
              <w:spacing w:before="40" w:after="60" w:line="252" w:lineRule="auto"/>
            </w:pPr>
            <w:r>
              <w:rPr>
                <w:sz w:val="19"/>
              </w:rPr>
              <w:t>轿厢导轨</w:t>
              <w:br/>
              <w:t>Car guide rail</w:t>
            </w:r>
          </w:p>
        </w:tc>
        <w:tc>
          <w:tcPr>
            <w:tcW w:type="dxa" w:w="2835"/>
          </w:tcPr>
          <w:p>
            <w:pPr>
              <w:spacing w:before="40" w:after="60" w:line="252" w:lineRule="auto"/>
            </w:pPr>
            <w:r>
              <w:rPr>
                <w:sz w:val="19"/>
              </w:rPr>
              <w:t>引导轿厢沿垂直路径运行，并供安全钳作用。</w:t>
            </w:r>
          </w:p>
        </w:tc>
        <w:tc>
          <w:tcPr>
            <w:tcW w:type="dxa" w:w="4309"/>
          </w:tcPr>
          <w:p>
            <w:pPr>
              <w:spacing w:before="40" w:after="60" w:line="252" w:lineRule="auto"/>
            </w:pPr>
            <w:r>
              <w:rPr>
                <w:sz w:val="19"/>
              </w:rPr>
              <w:t>Guides the car vertically and provides the surface on which the safety gear acts.</w:t>
            </w:r>
          </w:p>
        </w:tc>
      </w:tr>
      <w:tr>
        <w:trPr>
          <w:cantSplit/>
        </w:trPr>
        <w:tc>
          <w:tcPr>
            <w:tcW w:type="dxa" w:w="3175"/>
          </w:tcPr>
          <w:p>
            <w:pPr>
              <w:spacing w:before="40" w:after="60" w:line="252" w:lineRule="auto"/>
            </w:pPr>
            <w:r>
              <w:rPr>
                <w:sz w:val="19"/>
              </w:rPr>
              <w:t>对重导轨</w:t>
              <w:br/>
              <w:t>Counterweight guide rail</w:t>
            </w:r>
          </w:p>
        </w:tc>
        <w:tc>
          <w:tcPr>
            <w:tcW w:type="dxa" w:w="2835"/>
          </w:tcPr>
          <w:p>
            <w:pPr>
              <w:spacing w:before="40" w:after="60" w:line="252" w:lineRule="auto"/>
            </w:pPr>
            <w:r>
              <w:rPr>
                <w:sz w:val="19"/>
              </w:rPr>
              <w:t>引导对重沿垂直路径运行。</w:t>
            </w:r>
          </w:p>
        </w:tc>
        <w:tc>
          <w:tcPr>
            <w:tcW w:type="dxa" w:w="4309"/>
          </w:tcPr>
          <w:p>
            <w:pPr>
              <w:spacing w:before="40" w:after="60" w:line="252" w:lineRule="auto"/>
            </w:pPr>
            <w:r>
              <w:rPr>
                <w:sz w:val="19"/>
              </w:rPr>
              <w:t>Guides the counterweight vertically.</w:t>
            </w:r>
          </w:p>
        </w:tc>
      </w:tr>
      <w:tr>
        <w:trPr>
          <w:cantSplit/>
        </w:trPr>
        <w:tc>
          <w:tcPr>
            <w:tcW w:type="dxa" w:w="3175"/>
          </w:tcPr>
          <w:p>
            <w:pPr>
              <w:spacing w:before="40" w:after="60" w:line="252" w:lineRule="auto"/>
            </w:pPr>
            <w:r>
              <w:rPr>
                <w:sz w:val="19"/>
              </w:rPr>
              <w:t>制动器</w:t>
              <w:br/>
              <w:t>Brake</w:t>
            </w:r>
          </w:p>
        </w:tc>
        <w:tc>
          <w:tcPr>
            <w:tcW w:type="dxa" w:w="2835"/>
          </w:tcPr>
          <w:p>
            <w:pPr>
              <w:spacing w:before="40" w:after="60" w:line="252" w:lineRule="auto"/>
            </w:pPr>
            <w:r>
              <w:rPr>
                <w:sz w:val="19"/>
              </w:rPr>
              <w:t>停止并保持驱动系统。采用弹簧施闸、电力释放的安排。</w:t>
            </w:r>
          </w:p>
        </w:tc>
        <w:tc>
          <w:tcPr>
            <w:tcW w:type="dxa" w:w="4309"/>
          </w:tcPr>
          <w:p>
            <w:pPr>
              <w:spacing w:before="40" w:after="60" w:line="252" w:lineRule="auto"/>
            </w:pPr>
            <w:r>
              <w:rPr>
                <w:sz w:val="19"/>
              </w:rPr>
              <w:t>Stops and holds the drive system. It is spring-applied and electrically released.</w:t>
            </w:r>
          </w:p>
        </w:tc>
      </w:tr>
      <w:tr>
        <w:trPr>
          <w:cantSplit/>
        </w:trPr>
        <w:tc>
          <w:tcPr>
            <w:tcW w:type="dxa" w:w="3175"/>
          </w:tcPr>
          <w:p>
            <w:pPr>
              <w:spacing w:before="40" w:after="60" w:line="252" w:lineRule="auto"/>
            </w:pPr>
            <w:r>
              <w:rPr>
                <w:sz w:val="19"/>
              </w:rPr>
              <w:t>控制器</w:t>
              <w:br/>
              <w:t>Controller</w:t>
            </w:r>
          </w:p>
        </w:tc>
        <w:tc>
          <w:tcPr>
            <w:tcW w:type="dxa" w:w="2835"/>
          </w:tcPr>
          <w:p>
            <w:pPr>
              <w:spacing w:before="40" w:after="60" w:line="252" w:lineRule="auto"/>
            </w:pPr>
            <w:r>
              <w:rPr>
                <w:sz w:val="19"/>
              </w:rPr>
              <w:t>协调运行方向、速度、减速、平层、停车及开关门。</w:t>
            </w:r>
          </w:p>
        </w:tc>
        <w:tc>
          <w:tcPr>
            <w:tcW w:type="dxa" w:w="4309"/>
          </w:tcPr>
          <w:p>
            <w:pPr>
              <w:spacing w:before="40" w:after="60" w:line="252" w:lineRule="auto"/>
            </w:pPr>
            <w:r>
              <w:rPr>
                <w:sz w:val="19"/>
              </w:rPr>
              <w:t>Coordinates direction, speed, deceleration, levelling, stopping and door operation.</w:t>
            </w:r>
          </w:p>
        </w:tc>
      </w:tr>
      <w:tr>
        <w:trPr>
          <w:cantSplit/>
        </w:trPr>
        <w:tc>
          <w:tcPr>
            <w:tcW w:type="dxa" w:w="3175"/>
          </w:tcPr>
          <w:p>
            <w:pPr>
              <w:spacing w:before="40" w:after="60" w:line="252" w:lineRule="auto"/>
            </w:pPr>
            <w:r>
              <w:rPr>
                <w:sz w:val="19"/>
              </w:rPr>
              <w:t>门机</w:t>
              <w:br/>
              <w:t>Door operator</w:t>
            </w:r>
          </w:p>
        </w:tc>
        <w:tc>
          <w:tcPr>
            <w:tcW w:type="dxa" w:w="2835"/>
          </w:tcPr>
          <w:p>
            <w:pPr>
              <w:spacing w:before="40" w:after="60" w:line="252" w:lineRule="auto"/>
            </w:pPr>
            <w:r>
              <w:rPr>
                <w:sz w:val="19"/>
              </w:rPr>
              <w:t>驱动轿门开启和关闭。</w:t>
            </w:r>
          </w:p>
        </w:tc>
        <w:tc>
          <w:tcPr>
            <w:tcW w:type="dxa" w:w="4309"/>
          </w:tcPr>
          <w:p>
            <w:pPr>
              <w:spacing w:before="40" w:after="60" w:line="252" w:lineRule="auto"/>
            </w:pPr>
            <w:r>
              <w:rPr>
                <w:sz w:val="19"/>
              </w:rPr>
              <w:t>Opens and closes the car doors.</w:t>
            </w:r>
          </w:p>
        </w:tc>
      </w:tr>
    </w:tbl>
    <w:p>
      <w:r>
        <w:br w:type="page"/>
      </w:r>
    </w:p>
    <w:p>
      <w:pPr>
        <w:pStyle w:val="Heading1"/>
      </w:pPr>
      <w:r>
        <w:t>1.1 主要部件及功能（续） / Major components (continued)</w:t>
      </w:r>
    </w:p>
    <w:tbl>
      <w:tblPr>
        <w:tblStyle w:val="TableGrid"/>
        <w:tblW w:type="auto" w:w="0"/>
        <w:tblLayout w:type="fixed"/>
        <w:tblLook w:firstColumn="1" w:firstRow="1" w:lastColumn="0" w:lastRow="0" w:noHBand="0" w:noVBand="1" w:val="04A0"/>
      </w:tblPr>
      <w:tblGrid>
        <w:gridCol w:w="3175"/>
        <w:gridCol w:w="2835"/>
        <w:gridCol w:w="4309"/>
      </w:tblGrid>
      <w:tr>
        <w:trPr>
          <w:tblHeader/>
        </w:trPr>
        <w:tc>
          <w:tcPr>
            <w:tcW w:type="dxa" w:w="3175"/>
            <w:shd w:fill="E5EDF3"/>
          </w:tcPr>
          <w:p>
            <w:r>
              <w:t>主要部件 / Major component</w:t>
            </w:r>
          </w:p>
        </w:tc>
        <w:tc>
          <w:tcPr>
            <w:tcW w:type="dxa" w:w="2835"/>
            <w:shd w:fill="E5EDF3"/>
          </w:tcPr>
          <w:p>
            <w:r>
              <w:t>功能</w:t>
            </w:r>
          </w:p>
        </w:tc>
        <w:tc>
          <w:tcPr>
            <w:tcW w:type="dxa" w:w="4309"/>
            <w:shd w:fill="E5EDF3"/>
          </w:tcPr>
          <w:p>
            <w:r>
              <w:t>Operational function</w:t>
            </w:r>
          </w:p>
        </w:tc>
      </w:tr>
      <w:tr>
        <w:trPr>
          <w:cantSplit/>
        </w:trPr>
        <w:tc>
          <w:tcPr>
            <w:tcW w:type="dxa" w:w="3175"/>
          </w:tcPr>
          <w:p>
            <w:pPr>
              <w:spacing w:before="40" w:after="60" w:line="252" w:lineRule="auto"/>
            </w:pPr>
            <w:r>
              <w:rPr>
                <w:sz w:val="19"/>
              </w:rPr>
              <w:t>轿门</w:t>
              <w:br/>
              <w:t>Car doors</w:t>
            </w:r>
          </w:p>
        </w:tc>
        <w:tc>
          <w:tcPr>
            <w:tcW w:type="dxa" w:w="2835"/>
          </w:tcPr>
          <w:p>
            <w:pPr>
              <w:spacing w:before="40" w:after="60" w:line="252" w:lineRule="auto"/>
            </w:pPr>
            <w:r>
              <w:rPr>
                <w:sz w:val="19"/>
              </w:rPr>
              <w:t>关闭轿厢入口，保障运行期间的乘客安全。</w:t>
            </w:r>
          </w:p>
        </w:tc>
        <w:tc>
          <w:tcPr>
            <w:tcW w:type="dxa" w:w="4309"/>
          </w:tcPr>
          <w:p>
            <w:pPr>
              <w:spacing w:before="40" w:after="60" w:line="252" w:lineRule="auto"/>
            </w:pPr>
            <w:r>
              <w:rPr>
                <w:sz w:val="19"/>
              </w:rPr>
              <w:t>Close the car entrance to protect passengers during travel.</w:t>
            </w:r>
          </w:p>
        </w:tc>
      </w:tr>
      <w:tr>
        <w:trPr>
          <w:cantSplit/>
        </w:trPr>
        <w:tc>
          <w:tcPr>
            <w:tcW w:type="dxa" w:w="3175"/>
          </w:tcPr>
          <w:p>
            <w:pPr>
              <w:spacing w:before="40" w:after="60" w:line="252" w:lineRule="auto"/>
            </w:pPr>
            <w:r>
              <w:rPr>
                <w:sz w:val="19"/>
              </w:rPr>
              <w:t>层门</w:t>
              <w:br/>
              <w:t>Landing doors</w:t>
            </w:r>
          </w:p>
        </w:tc>
        <w:tc>
          <w:tcPr>
            <w:tcW w:type="dxa" w:w="2835"/>
          </w:tcPr>
          <w:p>
            <w:pPr>
              <w:spacing w:before="40" w:after="60" w:line="252" w:lineRule="auto"/>
            </w:pPr>
            <w:r>
              <w:rPr>
                <w:sz w:val="19"/>
              </w:rPr>
              <w:t>关闭各楼层通向井道的入口。</w:t>
            </w:r>
          </w:p>
        </w:tc>
        <w:tc>
          <w:tcPr>
            <w:tcW w:type="dxa" w:w="4309"/>
          </w:tcPr>
          <w:p>
            <w:pPr>
              <w:spacing w:before="40" w:after="60" w:line="252" w:lineRule="auto"/>
            </w:pPr>
            <w:r>
              <w:rPr>
                <w:sz w:val="19"/>
              </w:rPr>
              <w:t>Close the well entrance at each landing.</w:t>
            </w:r>
          </w:p>
        </w:tc>
      </w:tr>
      <w:tr>
        <w:trPr>
          <w:cantSplit/>
        </w:trPr>
        <w:tc>
          <w:tcPr>
            <w:tcW w:type="dxa" w:w="3175"/>
          </w:tcPr>
          <w:p>
            <w:pPr>
              <w:spacing w:before="40" w:after="60" w:line="252" w:lineRule="auto"/>
            </w:pPr>
            <w:r>
              <w:rPr>
                <w:sz w:val="19"/>
              </w:rPr>
              <w:t>层门联锁</w:t>
              <w:br/>
              <w:t>Landing door interlock</w:t>
            </w:r>
          </w:p>
        </w:tc>
        <w:tc>
          <w:tcPr>
            <w:tcW w:type="dxa" w:w="2835"/>
          </w:tcPr>
          <w:p>
            <w:pPr>
              <w:spacing w:before="40" w:after="60" w:line="252" w:lineRule="auto"/>
            </w:pPr>
            <w:r>
              <w:rPr>
                <w:sz w:val="19"/>
              </w:rPr>
              <w:t>层门未正确关闭并锁紧时，阻止升降机正常运行。</w:t>
            </w:r>
          </w:p>
        </w:tc>
        <w:tc>
          <w:tcPr>
            <w:tcW w:type="dxa" w:w="4309"/>
          </w:tcPr>
          <w:p>
            <w:pPr>
              <w:spacing w:before="40" w:after="60" w:line="252" w:lineRule="auto"/>
            </w:pPr>
            <w:r>
              <w:rPr>
                <w:sz w:val="19"/>
              </w:rPr>
              <w:t>Prevents normal travel unless the landing doors are properly closed and locked.</w:t>
            </w:r>
          </w:p>
        </w:tc>
      </w:tr>
      <w:tr>
        <w:trPr>
          <w:cantSplit/>
        </w:trPr>
        <w:tc>
          <w:tcPr>
            <w:tcW w:type="dxa" w:w="3175"/>
          </w:tcPr>
          <w:p>
            <w:pPr>
              <w:spacing w:before="40" w:after="60" w:line="252" w:lineRule="auto"/>
            </w:pPr>
            <w:r>
              <w:rPr>
                <w:sz w:val="19"/>
              </w:rPr>
              <w:t>层门接近传感器</w:t>
              <w:br/>
              <w:t>Landing door proximity sensor</w:t>
            </w:r>
          </w:p>
        </w:tc>
        <w:tc>
          <w:tcPr>
            <w:tcW w:type="dxa" w:w="2835"/>
          </w:tcPr>
          <w:p>
            <w:pPr>
              <w:spacing w:before="40" w:after="60" w:line="252" w:lineRule="auto"/>
            </w:pPr>
            <w:r>
              <w:rPr>
                <w:sz w:val="19"/>
              </w:rPr>
              <w:t>关门期间检测到乘客进入时，使门重新打开。</w:t>
            </w:r>
          </w:p>
        </w:tc>
        <w:tc>
          <w:tcPr>
            <w:tcW w:type="dxa" w:w="4309"/>
          </w:tcPr>
          <w:p>
            <w:pPr>
              <w:spacing w:before="40" w:after="60" w:line="252" w:lineRule="auto"/>
            </w:pPr>
            <w:r>
              <w:rPr>
                <w:sz w:val="19"/>
              </w:rPr>
              <w:t>Causes closing doors to reopen when a person enters.</w:t>
            </w:r>
          </w:p>
        </w:tc>
      </w:tr>
      <w:tr>
        <w:trPr>
          <w:cantSplit/>
        </w:trPr>
        <w:tc>
          <w:tcPr>
            <w:tcW w:type="dxa" w:w="3175"/>
          </w:tcPr>
          <w:p>
            <w:pPr>
              <w:spacing w:before="40" w:after="60" w:line="252" w:lineRule="auto"/>
            </w:pPr>
            <w:r>
              <w:rPr>
                <w:sz w:val="19"/>
              </w:rPr>
              <w:t>限速器</w:t>
              <w:br/>
              <w:t>Overspeed governor</w:t>
            </w:r>
          </w:p>
        </w:tc>
        <w:tc>
          <w:tcPr>
            <w:tcW w:type="dxa" w:w="2835"/>
          </w:tcPr>
          <w:p>
            <w:pPr>
              <w:spacing w:before="40" w:after="60" w:line="252" w:lineRule="auto"/>
            </w:pPr>
            <w:r>
              <w:rPr>
                <w:sz w:val="19"/>
              </w:rPr>
              <w:t>达到预定超速值时触发安全停止，并在需要时使安全钳动作。</w:t>
            </w:r>
          </w:p>
        </w:tc>
        <w:tc>
          <w:tcPr>
            <w:tcW w:type="dxa" w:w="4309"/>
          </w:tcPr>
          <w:p>
            <w:pPr>
              <w:spacing w:before="40" w:after="60" w:line="252" w:lineRule="auto"/>
            </w:pPr>
            <w:r>
              <w:rPr>
                <w:sz w:val="19"/>
              </w:rPr>
              <w:t>Initiates safety stopping at a predetermined overspeed and applies the safety gear when necessary.</w:t>
            </w:r>
          </w:p>
        </w:tc>
      </w:tr>
      <w:tr>
        <w:trPr>
          <w:cantSplit/>
        </w:trPr>
        <w:tc>
          <w:tcPr>
            <w:tcW w:type="dxa" w:w="3175"/>
          </w:tcPr>
          <w:p>
            <w:pPr>
              <w:spacing w:before="40" w:after="60" w:line="252" w:lineRule="auto"/>
            </w:pPr>
            <w:r>
              <w:rPr>
                <w:sz w:val="19"/>
              </w:rPr>
              <w:t>安全钳</w:t>
              <w:br/>
              <w:t>Safety gear</w:t>
            </w:r>
          </w:p>
        </w:tc>
        <w:tc>
          <w:tcPr>
            <w:tcW w:type="dxa" w:w="2835"/>
          </w:tcPr>
          <w:p>
            <w:pPr>
              <w:spacing w:before="40" w:after="60" w:line="252" w:lineRule="auto"/>
            </w:pPr>
            <w:r>
              <w:rPr>
                <w:sz w:val="19"/>
              </w:rPr>
              <w:t>向下超速或悬吊失效等情况下，作用于轿厢导轨，停止并保持轿厢。</w:t>
            </w:r>
          </w:p>
        </w:tc>
        <w:tc>
          <w:tcPr>
            <w:tcW w:type="dxa" w:w="4309"/>
          </w:tcPr>
          <w:p>
            <w:pPr>
              <w:spacing w:before="40" w:after="60" w:line="252" w:lineRule="auto"/>
            </w:pPr>
            <w:r>
              <w:rPr>
                <w:sz w:val="19"/>
              </w:rPr>
              <w:t>Acts on the car guide rail to stop and hold the car during downward overspeed or suspension failure.</w:t>
            </w:r>
          </w:p>
        </w:tc>
      </w:tr>
      <w:tr>
        <w:trPr>
          <w:cantSplit/>
        </w:trPr>
        <w:tc>
          <w:tcPr>
            <w:tcW w:type="dxa" w:w="3175"/>
          </w:tcPr>
          <w:p>
            <w:pPr>
              <w:spacing w:before="40" w:after="60" w:line="252" w:lineRule="auto"/>
            </w:pPr>
            <w:r>
              <w:rPr>
                <w:sz w:val="19"/>
              </w:rPr>
              <w:t>限速器张紧轮</w:t>
              <w:br/>
              <w:t>Governor tension sheave</w:t>
            </w:r>
          </w:p>
        </w:tc>
        <w:tc>
          <w:tcPr>
            <w:tcW w:type="dxa" w:w="2835"/>
          </w:tcPr>
          <w:p>
            <w:pPr>
              <w:spacing w:before="40" w:after="60" w:line="252" w:lineRule="auto"/>
            </w:pPr>
            <w:r>
              <w:rPr>
                <w:sz w:val="19"/>
              </w:rPr>
              <w:t>使限速器的绳路保持张紧。</w:t>
            </w:r>
          </w:p>
        </w:tc>
        <w:tc>
          <w:tcPr>
            <w:tcW w:type="dxa" w:w="4309"/>
          </w:tcPr>
          <w:p>
            <w:pPr>
              <w:spacing w:before="40" w:after="60" w:line="252" w:lineRule="auto"/>
            </w:pPr>
            <w:r>
              <w:rPr>
                <w:sz w:val="19"/>
              </w:rPr>
              <w:t>Maintains tension in the overspeed governor rope loop.</w:t>
            </w:r>
          </w:p>
        </w:tc>
      </w:tr>
      <w:tr>
        <w:trPr>
          <w:cantSplit/>
        </w:trPr>
        <w:tc>
          <w:tcPr>
            <w:tcW w:type="dxa" w:w="3175"/>
          </w:tcPr>
          <w:p>
            <w:pPr>
              <w:spacing w:before="40" w:after="60" w:line="252" w:lineRule="auto"/>
            </w:pPr>
            <w:r>
              <w:rPr>
                <w:sz w:val="19"/>
              </w:rPr>
              <w:t>限位开关</w:t>
              <w:br/>
              <w:t>Limit switches</w:t>
            </w:r>
          </w:p>
        </w:tc>
        <w:tc>
          <w:tcPr>
            <w:tcW w:type="dxa" w:w="2835"/>
          </w:tcPr>
          <w:p>
            <w:pPr>
              <w:spacing w:before="40" w:after="60" w:line="252" w:lineRule="auto"/>
            </w:pPr>
            <w:r>
              <w:rPr>
                <w:sz w:val="19"/>
              </w:rPr>
              <w:t>在行程端部提供停止保护，防止超过允许行程。</w:t>
            </w:r>
          </w:p>
        </w:tc>
        <w:tc>
          <w:tcPr>
            <w:tcW w:type="dxa" w:w="4309"/>
          </w:tcPr>
          <w:p>
            <w:pPr>
              <w:spacing w:before="40" w:after="60" w:line="252" w:lineRule="auto"/>
            </w:pPr>
            <w:r>
              <w:rPr>
                <w:sz w:val="19"/>
              </w:rPr>
              <w:t>Provide stopping protection at the ends of travel to prevent overtravel.</w:t>
            </w:r>
          </w:p>
        </w:tc>
      </w:tr>
      <w:tr>
        <w:trPr>
          <w:cantSplit/>
        </w:trPr>
        <w:tc>
          <w:tcPr>
            <w:tcW w:type="dxa" w:w="3175"/>
          </w:tcPr>
          <w:p>
            <w:pPr>
              <w:spacing w:before="40" w:after="60" w:line="252" w:lineRule="auto"/>
            </w:pPr>
            <w:r>
              <w:rPr>
                <w:sz w:val="19"/>
              </w:rPr>
              <w:t>轿厢缓冲器</w:t>
              <w:br/>
              <w:t>Car buffer</w:t>
            </w:r>
          </w:p>
        </w:tc>
        <w:tc>
          <w:tcPr>
            <w:tcW w:type="dxa" w:w="2835"/>
          </w:tcPr>
          <w:p>
            <w:pPr>
              <w:spacing w:before="40" w:after="60" w:line="252" w:lineRule="auto"/>
            </w:pPr>
            <w:r>
              <w:rPr>
                <w:sz w:val="19"/>
              </w:rPr>
              <w:t>在轿厢底部越程时吸收冲击能量。</w:t>
            </w:r>
          </w:p>
        </w:tc>
        <w:tc>
          <w:tcPr>
            <w:tcW w:type="dxa" w:w="4309"/>
          </w:tcPr>
          <w:p>
            <w:pPr>
              <w:spacing w:before="40" w:after="60" w:line="252" w:lineRule="auto"/>
            </w:pPr>
            <w:r>
              <w:rPr>
                <w:sz w:val="19"/>
              </w:rPr>
              <w:t>Absorbs impact energy during bottom overtravel of the car.</w:t>
            </w:r>
          </w:p>
        </w:tc>
      </w:tr>
      <w:tr>
        <w:trPr>
          <w:cantSplit/>
        </w:trPr>
        <w:tc>
          <w:tcPr>
            <w:tcW w:type="dxa" w:w="3175"/>
          </w:tcPr>
          <w:p>
            <w:pPr>
              <w:spacing w:before="40" w:after="60" w:line="252" w:lineRule="auto"/>
            </w:pPr>
            <w:r>
              <w:rPr>
                <w:sz w:val="19"/>
              </w:rPr>
              <w:t>对重缓冲器</w:t>
              <w:br/>
              <w:t>Counterweight buffer</w:t>
            </w:r>
          </w:p>
        </w:tc>
        <w:tc>
          <w:tcPr>
            <w:tcW w:type="dxa" w:w="2835"/>
          </w:tcPr>
          <w:p>
            <w:pPr>
              <w:spacing w:before="40" w:after="60" w:line="252" w:lineRule="auto"/>
            </w:pPr>
            <w:r>
              <w:rPr>
                <w:sz w:val="19"/>
              </w:rPr>
              <w:t>在对重底部越程时吸收冲击能量。</w:t>
            </w:r>
          </w:p>
        </w:tc>
        <w:tc>
          <w:tcPr>
            <w:tcW w:type="dxa" w:w="4309"/>
          </w:tcPr>
          <w:p>
            <w:pPr>
              <w:spacing w:before="40" w:after="60" w:line="252" w:lineRule="auto"/>
            </w:pPr>
            <w:r>
              <w:rPr>
                <w:sz w:val="19"/>
              </w:rPr>
              <w:t>Absorbs impact energy during bottom overtravel of the counterweight.</w:t>
            </w:r>
          </w:p>
        </w:tc>
      </w:tr>
      <w:tr>
        <w:trPr>
          <w:cantSplit/>
        </w:trPr>
        <w:tc>
          <w:tcPr>
            <w:tcW w:type="dxa" w:w="3175"/>
          </w:tcPr>
          <w:p>
            <w:pPr>
              <w:spacing w:before="40" w:after="60" w:line="252" w:lineRule="auto"/>
            </w:pPr>
            <w:r>
              <w:rPr>
                <w:sz w:val="19"/>
              </w:rPr>
              <w:t>随行电缆</w:t>
              <w:br/>
              <w:t>Travelling cables</w:t>
            </w:r>
          </w:p>
        </w:tc>
        <w:tc>
          <w:tcPr>
            <w:tcW w:type="dxa" w:w="2835"/>
          </w:tcPr>
          <w:p>
            <w:pPr>
              <w:spacing w:before="40" w:after="60" w:line="252" w:lineRule="auto"/>
            </w:pPr>
            <w:r>
              <w:rPr>
                <w:sz w:val="19"/>
              </w:rPr>
              <w:t>在固定设备与移动轿厢之间传送电源及控制信号。</w:t>
            </w:r>
          </w:p>
        </w:tc>
        <w:tc>
          <w:tcPr>
            <w:tcW w:type="dxa" w:w="4309"/>
          </w:tcPr>
          <w:p>
            <w:pPr>
              <w:spacing w:before="40" w:after="60" w:line="252" w:lineRule="auto"/>
            </w:pPr>
            <w:r>
              <w:rPr>
                <w:sz w:val="19"/>
              </w:rPr>
              <w:t>Carry power and control signals between fixed equipment and the moving car.</w:t>
            </w:r>
          </w:p>
        </w:tc>
      </w:tr>
    </w:tbl>
    <w:p>
      <w:pPr>
        <w:pStyle w:val="Heading2"/>
      </w:pPr>
      <w:r>
        <w:t>1.2 运作过程 / Operation</w:t>
      </w:r>
    </w:p>
    <w:p>
      <w:r>
        <w:t>层门关闭并锁紧后，控制器协调制动器释放和驱动电动机运行。驱动电动机经齿轮箱带动曳引轮，悬吊绳使轿厢与对重反向移动。接近目标楼层时减速和平层，停车后由制动器保持静止，再开门。限速器和安全钳共同提供超速及悬吊失效情况下的安全保护。</w:t>
      </w:r>
    </w:p>
    <w:p>
      <w:r>
        <w:t>Once the landing doors are closed and locked, the controller coordinates brake release and drive motor operation. The drive motor turns the drive sheave through the gear box, and the suspension rope moves the car and counterweight in opposite directions. The car slows and levels at the destination, the brake holds it stationary, and the doors open. The overspeed governor and safety gear provide protection during overspeed or suspension failure.</w:t>
      </w:r>
    </w:p>
    <w:p>
      <w:pPr>
        <w:sectPr>
          <w:headerReference w:type="default" r:id="rId9"/>
          <w:footerReference w:type="default" r:id="rId10"/>
          <w:pgSz w:w="11906" w:h="16838"/>
          <w:pgMar w:top="794" w:right="794" w:bottom="794" w:left="794" w:header="340" w:footer="340" w:gutter="0"/>
          <w:cols w:space="720"/>
          <w:docGrid w:linePitch="360"/>
        </w:sectPr>
      </w:pPr>
    </w:p>
    <w:p>
      <w:pPr>
        <w:spacing w:after="0"/>
        <w:jc w:val="center"/>
      </w:pPr>
      <w:r>
        <w:drawing>
          <wp:inline xmlns:a="http://schemas.openxmlformats.org/drawingml/2006/main" xmlns:pic="http://schemas.openxmlformats.org/drawingml/2006/picture">
            <wp:extent cx="9540000" cy="6748658"/>
            <wp:docPr id="1" name="Picture 1"/>
            <wp:cNvGraphicFramePr>
              <a:graphicFrameLocks noChangeAspect="1"/>
            </wp:cNvGraphicFramePr>
            <a:graphic>
              <a:graphicData uri="http://schemas.openxmlformats.org/drawingml/2006/picture">
                <pic:pic>
                  <pic:nvPicPr>
                    <pic:cNvPr id="0" name="PIA5704_Q1_Traction_Clear.png"/>
                    <pic:cNvPicPr/>
                  </pic:nvPicPr>
                  <pic:blipFill>
                    <a:blip r:embed="rId11"/>
                    <a:stretch>
                      <a:fillRect/>
                    </a:stretch>
                  </pic:blipFill>
                  <pic:spPr>
                    <a:xfrm>
                      <a:off x="0" y="0"/>
                      <a:ext cx="9540000" cy="6748658"/>
                    </a:xfrm>
                    <a:prstGeom prst="rect"/>
                  </pic:spPr>
                </pic:pic>
              </a:graphicData>
            </a:graphic>
          </wp:inline>
        </w:drawing>
      </w:r>
    </w:p>
    <w:p>
      <w:pPr>
        <w:sectPr>
          <w:pgSz w:w="16838" w:h="11906" w:orient="landscape"/>
          <w:pgMar w:top="794" w:right="794" w:bottom="794" w:left="794" w:header="340" w:footer="340" w:gutter="0"/>
          <w:cols w:space="720"/>
          <w:docGrid w:linePitch="360"/>
        </w:sectPr>
      </w:pPr>
    </w:p>
    <w:p>
      <w:pPr>
        <w:pStyle w:val="Heading1"/>
      </w:pPr>
      <w:r>
        <w:t>2 直顶式液压升降机 / Direct-driven cylinder hydraulic lift</w:t>
      </w:r>
    </w:p>
    <w:p>
      <w:r>
        <w:t>直顶式液压升降机利用电动机驱动油泵，把液压油由油箱送入油缸。油压使柱塞伸出，直接顶升轿厢。下降时，阀组让油受控流回油箱，轿厢重量使柱塞缩回。此结构的柱塞直接承托轿厢。</w:t>
      </w:r>
    </w:p>
    <w:p>
      <w:r>
        <w:t>A direct-driven cylinder hydraulic lift uses a motor-driven pump to deliver oil from the tank into the cylinder. Oil pressure extends the plunger, directly raising the car. During descent, the valve block permits controlled oil return to the tank, and the weight of the car retracts the plunger. The plunger directly supports the car in this arrangement.</w:t>
      </w:r>
    </w:p>
    <w:tbl>
      <w:tblPr>
        <w:tblStyle w:val="TableGrid"/>
        <w:tblW w:type="auto" w:w="0"/>
        <w:tblLayout w:type="fixed"/>
        <w:tblLook w:firstColumn="1" w:firstRow="1" w:lastColumn="0" w:lastRow="0" w:noHBand="0" w:noVBand="1" w:val="04A0"/>
      </w:tblPr>
      <w:tblGrid>
        <w:gridCol w:w="3175"/>
        <w:gridCol w:w="2835"/>
        <w:gridCol w:w="4309"/>
      </w:tblGrid>
      <w:tr>
        <w:trPr>
          <w:tblHeader/>
        </w:trPr>
        <w:tc>
          <w:tcPr>
            <w:tcW w:type="dxa" w:w="3175"/>
            <w:shd w:fill="E5EDF3"/>
          </w:tcPr>
          <w:p>
            <w:r>
              <w:t>主要部件 / Major component</w:t>
            </w:r>
          </w:p>
        </w:tc>
        <w:tc>
          <w:tcPr>
            <w:tcW w:type="dxa" w:w="2835"/>
            <w:shd w:fill="E5EDF3"/>
          </w:tcPr>
          <w:p>
            <w:r>
              <w:t>功能</w:t>
            </w:r>
          </w:p>
        </w:tc>
        <w:tc>
          <w:tcPr>
            <w:tcW w:type="dxa" w:w="4309"/>
            <w:shd w:fill="E5EDF3"/>
          </w:tcPr>
          <w:p>
            <w:r>
              <w:t>Operational function</w:t>
            </w:r>
          </w:p>
        </w:tc>
      </w:tr>
      <w:tr>
        <w:trPr>
          <w:cantSplit/>
        </w:trPr>
        <w:tc>
          <w:tcPr>
            <w:tcW w:type="dxa" w:w="3175"/>
          </w:tcPr>
          <w:p>
            <w:pPr>
              <w:spacing w:before="40" w:after="60" w:line="252" w:lineRule="auto"/>
            </w:pPr>
            <w:r>
              <w:rPr>
                <w:sz w:val="19"/>
              </w:rPr>
              <w:t>轿厢</w:t>
              <w:br/>
              <w:t>Car</w:t>
            </w:r>
          </w:p>
        </w:tc>
        <w:tc>
          <w:tcPr>
            <w:tcW w:type="dxa" w:w="2835"/>
          </w:tcPr>
          <w:p>
            <w:pPr>
              <w:spacing w:before="40" w:after="60" w:line="252" w:lineRule="auto"/>
            </w:pPr>
            <w:r>
              <w:rPr>
                <w:sz w:val="19"/>
              </w:rPr>
              <w:t>承载乘客或货物，并由柱塞直接承托。</w:t>
            </w:r>
          </w:p>
        </w:tc>
        <w:tc>
          <w:tcPr>
            <w:tcW w:type="dxa" w:w="4309"/>
          </w:tcPr>
          <w:p>
            <w:pPr>
              <w:spacing w:before="40" w:after="60" w:line="252" w:lineRule="auto"/>
            </w:pPr>
            <w:r>
              <w:rPr>
                <w:sz w:val="19"/>
              </w:rPr>
              <w:t>Carries passengers or goods and is directly supported by the plunger.</w:t>
            </w:r>
          </w:p>
        </w:tc>
      </w:tr>
      <w:tr>
        <w:trPr>
          <w:cantSplit/>
        </w:trPr>
        <w:tc>
          <w:tcPr>
            <w:tcW w:type="dxa" w:w="3175"/>
          </w:tcPr>
          <w:p>
            <w:pPr>
              <w:spacing w:before="40" w:after="60" w:line="252" w:lineRule="auto"/>
            </w:pPr>
            <w:r>
              <w:rPr>
                <w:sz w:val="19"/>
              </w:rPr>
              <w:t>柱塞</w:t>
              <w:br/>
              <w:t>Plunger</w:t>
            </w:r>
          </w:p>
        </w:tc>
        <w:tc>
          <w:tcPr>
            <w:tcW w:type="dxa" w:w="2835"/>
          </w:tcPr>
          <w:p>
            <w:pPr>
              <w:spacing w:before="40" w:after="60" w:line="252" w:lineRule="auto"/>
            </w:pPr>
            <w:r>
              <w:rPr>
                <w:sz w:val="19"/>
              </w:rPr>
              <w:t>在油压作用下伸出，直接顶升轿厢；回缩时轿厢下降。</w:t>
            </w:r>
          </w:p>
        </w:tc>
        <w:tc>
          <w:tcPr>
            <w:tcW w:type="dxa" w:w="4309"/>
          </w:tcPr>
          <w:p>
            <w:pPr>
              <w:spacing w:before="40" w:after="60" w:line="252" w:lineRule="auto"/>
            </w:pPr>
            <w:r>
              <w:rPr>
                <w:sz w:val="19"/>
              </w:rPr>
              <w:t>Extends under oil pressure to raise the car directly; its retraction allows descent.</w:t>
            </w:r>
          </w:p>
        </w:tc>
      </w:tr>
      <w:tr>
        <w:trPr>
          <w:cantSplit/>
        </w:trPr>
        <w:tc>
          <w:tcPr>
            <w:tcW w:type="dxa" w:w="3175"/>
          </w:tcPr>
          <w:p>
            <w:pPr>
              <w:spacing w:before="40" w:after="60" w:line="252" w:lineRule="auto"/>
            </w:pPr>
            <w:r>
              <w:rPr>
                <w:sz w:val="19"/>
              </w:rPr>
              <w:t>油缸</w:t>
              <w:br/>
              <w:t>Cylinder</w:t>
            </w:r>
          </w:p>
        </w:tc>
        <w:tc>
          <w:tcPr>
            <w:tcW w:type="dxa" w:w="2835"/>
          </w:tcPr>
          <w:p>
            <w:pPr>
              <w:spacing w:before="40" w:after="60" w:line="252" w:lineRule="auto"/>
            </w:pPr>
            <w:r>
              <w:rPr>
                <w:sz w:val="19"/>
              </w:rPr>
              <w:t>容纳受压液压油，与柱塞共同形成顶升机构。</w:t>
            </w:r>
          </w:p>
        </w:tc>
        <w:tc>
          <w:tcPr>
            <w:tcW w:type="dxa" w:w="4309"/>
          </w:tcPr>
          <w:p>
            <w:pPr>
              <w:spacing w:before="40" w:after="60" w:line="252" w:lineRule="auto"/>
            </w:pPr>
            <w:r>
              <w:rPr>
                <w:sz w:val="19"/>
              </w:rPr>
              <w:t>Contains pressurised oil and forms the lifting actuator with the plunger.</w:t>
            </w:r>
          </w:p>
        </w:tc>
      </w:tr>
      <w:tr>
        <w:trPr>
          <w:cantSplit/>
        </w:trPr>
        <w:tc>
          <w:tcPr>
            <w:tcW w:type="dxa" w:w="3175"/>
          </w:tcPr>
          <w:p>
            <w:pPr>
              <w:spacing w:before="40" w:after="60" w:line="252" w:lineRule="auto"/>
            </w:pPr>
            <w:r>
              <w:rPr>
                <w:sz w:val="19"/>
              </w:rPr>
              <w:t>油箱</w:t>
              <w:br/>
              <w:t>Tank</w:t>
            </w:r>
          </w:p>
        </w:tc>
        <w:tc>
          <w:tcPr>
            <w:tcW w:type="dxa" w:w="2835"/>
          </w:tcPr>
          <w:p>
            <w:pPr>
              <w:spacing w:before="40" w:after="60" w:line="252" w:lineRule="auto"/>
            </w:pPr>
            <w:r>
              <w:rPr>
                <w:sz w:val="19"/>
              </w:rPr>
              <w:t>储存液压油，向油泵供油并接收下降回油。</w:t>
            </w:r>
          </w:p>
        </w:tc>
        <w:tc>
          <w:tcPr>
            <w:tcW w:type="dxa" w:w="4309"/>
          </w:tcPr>
          <w:p>
            <w:pPr>
              <w:spacing w:before="40" w:after="60" w:line="252" w:lineRule="auto"/>
            </w:pPr>
            <w:r>
              <w:rPr>
                <w:sz w:val="19"/>
              </w:rPr>
              <w:t>Stores oil, supplies the pump and receives returning oil during descent.</w:t>
            </w:r>
          </w:p>
        </w:tc>
      </w:tr>
      <w:tr>
        <w:trPr>
          <w:cantSplit/>
        </w:trPr>
        <w:tc>
          <w:tcPr>
            <w:tcW w:type="dxa" w:w="3175"/>
          </w:tcPr>
          <w:p>
            <w:pPr>
              <w:spacing w:before="40" w:after="60" w:line="252" w:lineRule="auto"/>
            </w:pPr>
            <w:r>
              <w:rPr>
                <w:sz w:val="19"/>
              </w:rPr>
              <w:t>油位计</w:t>
              <w:br/>
              <w:t>Oil level gauge</w:t>
            </w:r>
          </w:p>
        </w:tc>
        <w:tc>
          <w:tcPr>
            <w:tcW w:type="dxa" w:w="2835"/>
          </w:tcPr>
          <w:p>
            <w:pPr>
              <w:spacing w:before="40" w:after="60" w:line="252" w:lineRule="auto"/>
            </w:pPr>
            <w:r>
              <w:rPr>
                <w:sz w:val="19"/>
              </w:rPr>
              <w:t>显示油箱中的油位。</w:t>
            </w:r>
          </w:p>
        </w:tc>
        <w:tc>
          <w:tcPr>
            <w:tcW w:type="dxa" w:w="4309"/>
          </w:tcPr>
          <w:p>
            <w:pPr>
              <w:spacing w:before="40" w:after="60" w:line="252" w:lineRule="auto"/>
            </w:pPr>
            <w:r>
              <w:rPr>
                <w:sz w:val="19"/>
              </w:rPr>
              <w:t>Indicates the oil level in the tank.</w:t>
            </w:r>
          </w:p>
        </w:tc>
      </w:tr>
      <w:tr>
        <w:trPr>
          <w:cantSplit/>
        </w:trPr>
        <w:tc>
          <w:tcPr>
            <w:tcW w:type="dxa" w:w="3175"/>
          </w:tcPr>
          <w:p>
            <w:pPr>
              <w:spacing w:before="40" w:after="60" w:line="252" w:lineRule="auto"/>
            </w:pPr>
            <w:r>
              <w:rPr>
                <w:sz w:val="19"/>
              </w:rPr>
              <w:t>电动机</w:t>
              <w:br/>
              <w:t>Motor</w:t>
            </w:r>
          </w:p>
        </w:tc>
        <w:tc>
          <w:tcPr>
            <w:tcW w:type="dxa" w:w="2835"/>
          </w:tcPr>
          <w:p>
            <w:pPr>
              <w:spacing w:before="40" w:after="60" w:line="252" w:lineRule="auto"/>
            </w:pPr>
            <w:r>
              <w:rPr>
                <w:sz w:val="19"/>
              </w:rPr>
              <w:t>通过机械轴驱动油泵。</w:t>
            </w:r>
          </w:p>
        </w:tc>
        <w:tc>
          <w:tcPr>
            <w:tcW w:type="dxa" w:w="4309"/>
          </w:tcPr>
          <w:p>
            <w:pPr>
              <w:spacing w:before="40" w:after="60" w:line="252" w:lineRule="auto"/>
            </w:pPr>
            <w:r>
              <w:rPr>
                <w:sz w:val="19"/>
              </w:rPr>
              <w:t>Drives the pump through a mechanical shaft.</w:t>
            </w:r>
          </w:p>
        </w:tc>
      </w:tr>
      <w:tr>
        <w:trPr>
          <w:cantSplit/>
        </w:trPr>
        <w:tc>
          <w:tcPr>
            <w:tcW w:type="dxa" w:w="3175"/>
          </w:tcPr>
          <w:p>
            <w:pPr>
              <w:spacing w:before="40" w:after="60" w:line="252" w:lineRule="auto"/>
            </w:pPr>
            <w:r>
              <w:rPr>
                <w:sz w:val="19"/>
              </w:rPr>
              <w:t>油泵</w:t>
              <w:br/>
              <w:t>Pump</w:t>
            </w:r>
          </w:p>
        </w:tc>
        <w:tc>
          <w:tcPr>
            <w:tcW w:type="dxa" w:w="2835"/>
          </w:tcPr>
          <w:p>
            <w:pPr>
              <w:spacing w:before="40" w:after="60" w:line="252" w:lineRule="auto"/>
            </w:pPr>
            <w:r>
              <w:rPr>
                <w:sz w:val="19"/>
              </w:rPr>
              <w:t>将油箱内的油送往油缸，提供顶升所需油流。</w:t>
            </w:r>
          </w:p>
        </w:tc>
        <w:tc>
          <w:tcPr>
            <w:tcW w:type="dxa" w:w="4309"/>
          </w:tcPr>
          <w:p>
            <w:pPr>
              <w:spacing w:before="40" w:after="60" w:line="252" w:lineRule="auto"/>
            </w:pPr>
            <w:r>
              <w:rPr>
                <w:sz w:val="19"/>
              </w:rPr>
              <w:t>Delivers oil from the tank towards the cylinder to raise the car.</w:t>
            </w:r>
          </w:p>
        </w:tc>
      </w:tr>
      <w:tr>
        <w:trPr>
          <w:cantSplit/>
        </w:trPr>
        <w:tc>
          <w:tcPr>
            <w:tcW w:type="dxa" w:w="3175"/>
          </w:tcPr>
          <w:p>
            <w:pPr>
              <w:spacing w:before="40" w:after="60" w:line="252" w:lineRule="auto"/>
            </w:pPr>
            <w:r>
              <w:rPr>
                <w:sz w:val="19"/>
              </w:rPr>
              <w:t>阀组</w:t>
              <w:br/>
              <w:t>Valve block</w:t>
            </w:r>
          </w:p>
        </w:tc>
        <w:tc>
          <w:tcPr>
            <w:tcW w:type="dxa" w:w="2835"/>
          </w:tcPr>
          <w:p>
            <w:pPr>
              <w:spacing w:before="40" w:after="60" w:line="252" w:lineRule="auto"/>
            </w:pPr>
            <w:r>
              <w:rPr>
                <w:sz w:val="19"/>
              </w:rPr>
              <w:t>控制进油、保压及受控回油，从而实现上升、停止和下降。</w:t>
            </w:r>
          </w:p>
        </w:tc>
        <w:tc>
          <w:tcPr>
            <w:tcW w:type="dxa" w:w="4309"/>
          </w:tcPr>
          <w:p>
            <w:pPr>
              <w:spacing w:before="40" w:after="60" w:line="252" w:lineRule="auto"/>
            </w:pPr>
            <w:r>
              <w:rPr>
                <w:sz w:val="19"/>
              </w:rPr>
              <w:t>Controls oil admission, holding and controlled return for ascent, stopping and descent.</w:t>
            </w:r>
          </w:p>
        </w:tc>
      </w:tr>
      <w:tr>
        <w:trPr>
          <w:cantSplit/>
        </w:trPr>
        <w:tc>
          <w:tcPr>
            <w:tcW w:type="dxa" w:w="3175"/>
          </w:tcPr>
          <w:p>
            <w:pPr>
              <w:spacing w:before="40" w:after="60" w:line="252" w:lineRule="auto"/>
            </w:pPr>
            <w:r>
              <w:rPr>
                <w:sz w:val="19"/>
              </w:rPr>
              <w:t>闸阀</w:t>
              <w:br/>
              <w:t>Gate valve</w:t>
            </w:r>
          </w:p>
        </w:tc>
        <w:tc>
          <w:tcPr>
            <w:tcW w:type="dxa" w:w="2835"/>
          </w:tcPr>
          <w:p>
            <w:pPr>
              <w:spacing w:before="40" w:after="60" w:line="252" w:lineRule="auto"/>
            </w:pPr>
            <w:r>
              <w:rPr>
                <w:sz w:val="19"/>
              </w:rPr>
              <w:t>隔离油缸油路，供检修使用；正常运行时保持开启。</w:t>
            </w:r>
          </w:p>
        </w:tc>
        <w:tc>
          <w:tcPr>
            <w:tcW w:type="dxa" w:w="4309"/>
          </w:tcPr>
          <w:p>
            <w:pPr>
              <w:spacing w:before="40" w:after="60" w:line="252" w:lineRule="auto"/>
            </w:pPr>
            <w:r>
              <w:rPr>
                <w:sz w:val="19"/>
              </w:rPr>
              <w:t>Isolates the cylinder oil line for maintenance and remains open during normal operation.</w:t>
            </w:r>
          </w:p>
        </w:tc>
      </w:tr>
      <w:tr>
        <w:trPr>
          <w:cantSplit/>
        </w:trPr>
        <w:tc>
          <w:tcPr>
            <w:tcW w:type="dxa" w:w="3175"/>
          </w:tcPr>
          <w:p>
            <w:pPr>
              <w:spacing w:before="40" w:after="60" w:line="252" w:lineRule="auto"/>
            </w:pPr>
            <w:r>
              <w:rPr>
                <w:sz w:val="19"/>
              </w:rPr>
              <w:t>控制器</w:t>
              <w:br/>
              <w:t>Controller</w:t>
            </w:r>
          </w:p>
        </w:tc>
        <w:tc>
          <w:tcPr>
            <w:tcW w:type="dxa" w:w="2835"/>
          </w:tcPr>
          <w:p>
            <w:pPr>
              <w:spacing w:before="40" w:after="60" w:line="252" w:lineRule="auto"/>
            </w:pPr>
            <w:r>
              <w:rPr>
                <w:sz w:val="19"/>
              </w:rPr>
              <w:t>协调电动机、阀组、停车、平层和开关门。</w:t>
            </w:r>
          </w:p>
        </w:tc>
        <w:tc>
          <w:tcPr>
            <w:tcW w:type="dxa" w:w="4309"/>
          </w:tcPr>
          <w:p>
            <w:pPr>
              <w:spacing w:before="40" w:after="60" w:line="252" w:lineRule="auto"/>
            </w:pPr>
            <w:r>
              <w:rPr>
                <w:sz w:val="19"/>
              </w:rPr>
              <w:t>Coordinates the motor, valve block, stopping, levelling and door operation.</w:t>
            </w:r>
          </w:p>
        </w:tc>
      </w:tr>
      <w:tr>
        <w:trPr>
          <w:cantSplit/>
        </w:trPr>
        <w:tc>
          <w:tcPr>
            <w:tcW w:type="dxa" w:w="3175"/>
          </w:tcPr>
          <w:p>
            <w:pPr>
              <w:spacing w:before="40" w:after="60" w:line="252" w:lineRule="auto"/>
            </w:pPr>
            <w:r>
              <w:rPr>
                <w:sz w:val="19"/>
              </w:rPr>
              <w:t>轿厢导轨</w:t>
              <w:br/>
              <w:t>Car guide rail</w:t>
            </w:r>
          </w:p>
        </w:tc>
        <w:tc>
          <w:tcPr>
            <w:tcW w:type="dxa" w:w="2835"/>
          </w:tcPr>
          <w:p>
            <w:pPr>
              <w:spacing w:before="40" w:after="60" w:line="252" w:lineRule="auto"/>
            </w:pPr>
            <w:r>
              <w:rPr>
                <w:sz w:val="19"/>
              </w:rPr>
              <w:t>引导轿厢沿垂直路径运行。</w:t>
            </w:r>
          </w:p>
        </w:tc>
        <w:tc>
          <w:tcPr>
            <w:tcW w:type="dxa" w:w="4309"/>
          </w:tcPr>
          <w:p>
            <w:pPr>
              <w:spacing w:before="40" w:after="60" w:line="252" w:lineRule="auto"/>
            </w:pPr>
            <w:r>
              <w:rPr>
                <w:sz w:val="19"/>
              </w:rPr>
              <w:t>Guides the car vertically.</w:t>
            </w:r>
          </w:p>
        </w:tc>
      </w:tr>
    </w:tbl>
    <w:p>
      <w:r>
        <w:br w:type="page"/>
      </w:r>
    </w:p>
    <w:p>
      <w:pPr>
        <w:pStyle w:val="Heading1"/>
      </w:pPr>
      <w:r>
        <w:t>2.1 主要部件及功能（续） / Major components (continued)</w:t>
      </w:r>
    </w:p>
    <w:tbl>
      <w:tblPr>
        <w:tblStyle w:val="TableGrid"/>
        <w:tblW w:type="auto" w:w="0"/>
        <w:tblLayout w:type="fixed"/>
        <w:tblLook w:firstColumn="1" w:firstRow="1" w:lastColumn="0" w:lastRow="0" w:noHBand="0" w:noVBand="1" w:val="04A0"/>
      </w:tblPr>
      <w:tblGrid>
        <w:gridCol w:w="3175"/>
        <w:gridCol w:w="2835"/>
        <w:gridCol w:w="4309"/>
      </w:tblGrid>
      <w:tr>
        <w:trPr>
          <w:tblHeader/>
        </w:trPr>
        <w:tc>
          <w:tcPr>
            <w:tcW w:type="dxa" w:w="3175"/>
            <w:shd w:fill="E5EDF3"/>
          </w:tcPr>
          <w:p>
            <w:r>
              <w:t>主要部件 / Major component</w:t>
            </w:r>
          </w:p>
        </w:tc>
        <w:tc>
          <w:tcPr>
            <w:tcW w:type="dxa" w:w="2835"/>
            <w:shd w:fill="E5EDF3"/>
          </w:tcPr>
          <w:p>
            <w:r>
              <w:t>功能</w:t>
            </w:r>
          </w:p>
        </w:tc>
        <w:tc>
          <w:tcPr>
            <w:tcW w:type="dxa" w:w="4309"/>
            <w:shd w:fill="E5EDF3"/>
          </w:tcPr>
          <w:p>
            <w:r>
              <w:t>Operational function</w:t>
            </w:r>
          </w:p>
        </w:tc>
      </w:tr>
      <w:tr>
        <w:trPr>
          <w:cantSplit/>
        </w:trPr>
        <w:tc>
          <w:tcPr>
            <w:tcW w:type="dxa" w:w="3175"/>
          </w:tcPr>
          <w:p>
            <w:pPr>
              <w:spacing w:before="40" w:after="60" w:line="252" w:lineRule="auto"/>
            </w:pPr>
            <w:r>
              <w:rPr>
                <w:sz w:val="19"/>
              </w:rPr>
              <w:t>导靴</w:t>
              <w:br/>
              <w:t>Guide shoe</w:t>
            </w:r>
          </w:p>
        </w:tc>
        <w:tc>
          <w:tcPr>
            <w:tcW w:type="dxa" w:w="2835"/>
          </w:tcPr>
          <w:p>
            <w:pPr>
              <w:spacing w:before="40" w:after="60" w:line="252" w:lineRule="auto"/>
            </w:pPr>
            <w:r>
              <w:rPr>
                <w:sz w:val="19"/>
              </w:rPr>
              <w:t>配合轿厢导轨引导轿厢，并限制横向移动。</w:t>
            </w:r>
          </w:p>
        </w:tc>
        <w:tc>
          <w:tcPr>
            <w:tcW w:type="dxa" w:w="4309"/>
          </w:tcPr>
          <w:p>
            <w:pPr>
              <w:spacing w:before="40" w:after="60" w:line="252" w:lineRule="auto"/>
            </w:pPr>
            <w:r>
              <w:rPr>
                <w:sz w:val="19"/>
              </w:rPr>
              <w:t>Runs along the car guide rail to guide the car and restrain lateral movement.</w:t>
            </w:r>
          </w:p>
        </w:tc>
      </w:tr>
      <w:tr>
        <w:trPr>
          <w:cantSplit/>
        </w:trPr>
        <w:tc>
          <w:tcPr>
            <w:tcW w:type="dxa" w:w="3175"/>
          </w:tcPr>
          <w:p>
            <w:pPr>
              <w:spacing w:before="40" w:after="60" w:line="252" w:lineRule="auto"/>
            </w:pPr>
            <w:r>
              <w:rPr>
                <w:sz w:val="19"/>
              </w:rPr>
              <w:t>门机</w:t>
              <w:br/>
              <w:t>Door operator</w:t>
            </w:r>
          </w:p>
        </w:tc>
        <w:tc>
          <w:tcPr>
            <w:tcW w:type="dxa" w:w="2835"/>
          </w:tcPr>
          <w:p>
            <w:pPr>
              <w:spacing w:before="40" w:after="60" w:line="252" w:lineRule="auto"/>
            </w:pPr>
            <w:r>
              <w:rPr>
                <w:sz w:val="19"/>
              </w:rPr>
              <w:t>驱动轿门开启和关闭。</w:t>
            </w:r>
          </w:p>
        </w:tc>
        <w:tc>
          <w:tcPr>
            <w:tcW w:type="dxa" w:w="4309"/>
          </w:tcPr>
          <w:p>
            <w:pPr>
              <w:spacing w:before="40" w:after="60" w:line="252" w:lineRule="auto"/>
            </w:pPr>
            <w:r>
              <w:rPr>
                <w:sz w:val="19"/>
              </w:rPr>
              <w:t>Opens and closes the car doors.</w:t>
            </w:r>
          </w:p>
        </w:tc>
      </w:tr>
      <w:tr>
        <w:trPr>
          <w:cantSplit/>
        </w:trPr>
        <w:tc>
          <w:tcPr>
            <w:tcW w:type="dxa" w:w="3175"/>
          </w:tcPr>
          <w:p>
            <w:pPr>
              <w:spacing w:before="40" w:after="60" w:line="252" w:lineRule="auto"/>
            </w:pPr>
            <w:r>
              <w:rPr>
                <w:sz w:val="19"/>
              </w:rPr>
              <w:t>轿门</w:t>
              <w:br/>
              <w:t>Car doors</w:t>
            </w:r>
          </w:p>
        </w:tc>
        <w:tc>
          <w:tcPr>
            <w:tcW w:type="dxa" w:w="2835"/>
          </w:tcPr>
          <w:p>
            <w:pPr>
              <w:spacing w:before="40" w:after="60" w:line="252" w:lineRule="auto"/>
            </w:pPr>
            <w:r>
              <w:rPr>
                <w:sz w:val="19"/>
              </w:rPr>
              <w:t>关闭轿厢入口。</w:t>
            </w:r>
          </w:p>
        </w:tc>
        <w:tc>
          <w:tcPr>
            <w:tcW w:type="dxa" w:w="4309"/>
          </w:tcPr>
          <w:p>
            <w:pPr>
              <w:spacing w:before="40" w:after="60" w:line="252" w:lineRule="auto"/>
            </w:pPr>
            <w:r>
              <w:rPr>
                <w:sz w:val="19"/>
              </w:rPr>
              <w:t>Close the car entrance.</w:t>
            </w:r>
          </w:p>
        </w:tc>
      </w:tr>
      <w:tr>
        <w:trPr>
          <w:cantSplit/>
        </w:trPr>
        <w:tc>
          <w:tcPr>
            <w:tcW w:type="dxa" w:w="3175"/>
          </w:tcPr>
          <w:p>
            <w:pPr>
              <w:spacing w:before="40" w:after="60" w:line="252" w:lineRule="auto"/>
            </w:pPr>
            <w:r>
              <w:rPr>
                <w:sz w:val="19"/>
              </w:rPr>
              <w:t>层门</w:t>
              <w:br/>
              <w:t>Landing doors</w:t>
            </w:r>
          </w:p>
        </w:tc>
        <w:tc>
          <w:tcPr>
            <w:tcW w:type="dxa" w:w="2835"/>
          </w:tcPr>
          <w:p>
            <w:pPr>
              <w:spacing w:before="40" w:after="60" w:line="252" w:lineRule="auto"/>
            </w:pPr>
            <w:r>
              <w:rPr>
                <w:sz w:val="19"/>
              </w:rPr>
              <w:t>关闭各楼层通向井道的入口。</w:t>
            </w:r>
          </w:p>
        </w:tc>
        <w:tc>
          <w:tcPr>
            <w:tcW w:type="dxa" w:w="4309"/>
          </w:tcPr>
          <w:p>
            <w:pPr>
              <w:spacing w:before="40" w:after="60" w:line="252" w:lineRule="auto"/>
            </w:pPr>
            <w:r>
              <w:rPr>
                <w:sz w:val="19"/>
              </w:rPr>
              <w:t>Close the well entrance at each landing.</w:t>
            </w:r>
          </w:p>
        </w:tc>
      </w:tr>
      <w:tr>
        <w:trPr>
          <w:cantSplit/>
        </w:trPr>
        <w:tc>
          <w:tcPr>
            <w:tcW w:type="dxa" w:w="3175"/>
          </w:tcPr>
          <w:p>
            <w:pPr>
              <w:spacing w:before="40" w:after="60" w:line="252" w:lineRule="auto"/>
            </w:pPr>
            <w:r>
              <w:rPr>
                <w:sz w:val="19"/>
              </w:rPr>
              <w:t>层门联锁</w:t>
              <w:br/>
              <w:t>Landing door interlock</w:t>
            </w:r>
          </w:p>
        </w:tc>
        <w:tc>
          <w:tcPr>
            <w:tcW w:type="dxa" w:w="2835"/>
          </w:tcPr>
          <w:p>
            <w:pPr>
              <w:spacing w:before="40" w:after="60" w:line="252" w:lineRule="auto"/>
            </w:pPr>
            <w:r>
              <w:rPr>
                <w:sz w:val="19"/>
              </w:rPr>
              <w:t>层门未正确关闭并锁紧时，阻止正常运行。</w:t>
            </w:r>
          </w:p>
        </w:tc>
        <w:tc>
          <w:tcPr>
            <w:tcW w:type="dxa" w:w="4309"/>
          </w:tcPr>
          <w:p>
            <w:pPr>
              <w:spacing w:before="40" w:after="60" w:line="252" w:lineRule="auto"/>
            </w:pPr>
            <w:r>
              <w:rPr>
                <w:sz w:val="19"/>
              </w:rPr>
              <w:t>Prevents normal travel unless the landing doors are properly closed and locked.</w:t>
            </w:r>
          </w:p>
        </w:tc>
      </w:tr>
      <w:tr>
        <w:trPr>
          <w:cantSplit/>
        </w:trPr>
        <w:tc>
          <w:tcPr>
            <w:tcW w:type="dxa" w:w="3175"/>
          </w:tcPr>
          <w:p>
            <w:pPr>
              <w:spacing w:before="40" w:after="60" w:line="252" w:lineRule="auto"/>
            </w:pPr>
            <w:r>
              <w:rPr>
                <w:sz w:val="19"/>
              </w:rPr>
              <w:t>层门接近传感器</w:t>
              <w:br/>
              <w:t>Landing door proximity sensor</w:t>
            </w:r>
          </w:p>
        </w:tc>
        <w:tc>
          <w:tcPr>
            <w:tcW w:type="dxa" w:w="2835"/>
          </w:tcPr>
          <w:p>
            <w:pPr>
              <w:spacing w:before="40" w:after="60" w:line="252" w:lineRule="auto"/>
            </w:pPr>
            <w:r>
              <w:rPr>
                <w:sz w:val="19"/>
              </w:rPr>
              <w:t>关门期间检测到乘客进入时，使门重新打开。</w:t>
            </w:r>
          </w:p>
        </w:tc>
        <w:tc>
          <w:tcPr>
            <w:tcW w:type="dxa" w:w="4309"/>
          </w:tcPr>
          <w:p>
            <w:pPr>
              <w:spacing w:before="40" w:after="60" w:line="252" w:lineRule="auto"/>
            </w:pPr>
            <w:r>
              <w:rPr>
                <w:sz w:val="19"/>
              </w:rPr>
              <w:t>Causes closing doors to reopen when a person enters.</w:t>
            </w:r>
          </w:p>
        </w:tc>
      </w:tr>
      <w:tr>
        <w:trPr>
          <w:cantSplit/>
        </w:trPr>
        <w:tc>
          <w:tcPr>
            <w:tcW w:type="dxa" w:w="3175"/>
          </w:tcPr>
          <w:p>
            <w:pPr>
              <w:spacing w:before="40" w:after="60" w:line="252" w:lineRule="auto"/>
            </w:pPr>
            <w:r>
              <w:rPr>
                <w:sz w:val="19"/>
              </w:rPr>
              <w:t>楼层停止及限位开关</w:t>
              <w:br/>
              <w:t>Floor stop and limit switch</w:t>
            </w:r>
          </w:p>
        </w:tc>
        <w:tc>
          <w:tcPr>
            <w:tcW w:type="dxa" w:w="2835"/>
          </w:tcPr>
          <w:p>
            <w:pPr>
              <w:spacing w:before="40" w:after="60" w:line="252" w:lineRule="auto"/>
            </w:pPr>
            <w:r>
              <w:rPr>
                <w:sz w:val="19"/>
              </w:rPr>
              <w:t>控制楼层停车并限制轿厢行程。</w:t>
            </w:r>
          </w:p>
        </w:tc>
        <w:tc>
          <w:tcPr>
            <w:tcW w:type="dxa" w:w="4309"/>
          </w:tcPr>
          <w:p>
            <w:pPr>
              <w:spacing w:before="40" w:after="60" w:line="252" w:lineRule="auto"/>
            </w:pPr>
            <w:r>
              <w:rPr>
                <w:sz w:val="19"/>
              </w:rPr>
              <w:t>Controls landing stops and limits car travel.</w:t>
            </w:r>
          </w:p>
        </w:tc>
      </w:tr>
      <w:tr>
        <w:trPr>
          <w:cantSplit/>
        </w:trPr>
        <w:tc>
          <w:tcPr>
            <w:tcW w:type="dxa" w:w="3175"/>
          </w:tcPr>
          <w:p>
            <w:pPr>
              <w:spacing w:before="40" w:after="60" w:line="252" w:lineRule="auto"/>
            </w:pPr>
            <w:r>
              <w:rPr>
                <w:sz w:val="19"/>
              </w:rPr>
              <w:t>低速平层开关凸轮</w:t>
              <w:br/>
              <w:t>Creepage and leveling switch cam</w:t>
            </w:r>
          </w:p>
        </w:tc>
        <w:tc>
          <w:tcPr>
            <w:tcW w:type="dxa" w:w="2835"/>
          </w:tcPr>
          <w:p>
            <w:pPr>
              <w:spacing w:before="40" w:after="60" w:line="252" w:lineRule="auto"/>
            </w:pPr>
            <w:r>
              <w:rPr>
                <w:sz w:val="19"/>
              </w:rPr>
              <w:t>触发相关开关，使系统进行低速平层。</w:t>
            </w:r>
          </w:p>
        </w:tc>
        <w:tc>
          <w:tcPr>
            <w:tcW w:type="dxa" w:w="4309"/>
          </w:tcPr>
          <w:p>
            <w:pPr>
              <w:spacing w:before="40" w:after="60" w:line="252" w:lineRule="auto"/>
            </w:pPr>
            <w:r>
              <w:rPr>
                <w:sz w:val="19"/>
              </w:rPr>
              <w:t>Actuates the associated switches for low-speed levelling.</w:t>
            </w:r>
          </w:p>
        </w:tc>
      </w:tr>
      <w:tr>
        <w:trPr>
          <w:cantSplit/>
        </w:trPr>
        <w:tc>
          <w:tcPr>
            <w:tcW w:type="dxa" w:w="3175"/>
          </w:tcPr>
          <w:p>
            <w:pPr>
              <w:spacing w:before="40" w:after="60" w:line="252" w:lineRule="auto"/>
            </w:pPr>
            <w:r>
              <w:rPr>
                <w:sz w:val="19"/>
              </w:rPr>
              <w:t>弹簧缓冲器</w:t>
              <w:br/>
              <w:t>Buffer spring</w:t>
            </w:r>
          </w:p>
        </w:tc>
        <w:tc>
          <w:tcPr>
            <w:tcW w:type="dxa" w:w="2835"/>
          </w:tcPr>
          <w:p>
            <w:pPr>
              <w:spacing w:before="40" w:after="60" w:line="252" w:lineRule="auto"/>
            </w:pPr>
            <w:r>
              <w:rPr>
                <w:sz w:val="19"/>
              </w:rPr>
              <w:t>在轿厢底部越程时吸收冲击能量。</w:t>
            </w:r>
          </w:p>
        </w:tc>
        <w:tc>
          <w:tcPr>
            <w:tcW w:type="dxa" w:w="4309"/>
          </w:tcPr>
          <w:p>
            <w:pPr>
              <w:spacing w:before="40" w:after="60" w:line="252" w:lineRule="auto"/>
            </w:pPr>
            <w:r>
              <w:rPr>
                <w:sz w:val="19"/>
              </w:rPr>
              <w:t>Absorbs impact energy during bottom overtravel of the car.</w:t>
            </w:r>
          </w:p>
        </w:tc>
      </w:tr>
      <w:tr>
        <w:trPr>
          <w:cantSplit/>
        </w:trPr>
        <w:tc>
          <w:tcPr>
            <w:tcW w:type="dxa" w:w="3175"/>
          </w:tcPr>
          <w:p>
            <w:pPr>
              <w:spacing w:before="40" w:after="60" w:line="252" w:lineRule="auto"/>
            </w:pPr>
            <w:r>
              <w:rPr>
                <w:sz w:val="19"/>
              </w:rPr>
              <w:t>随行电缆</w:t>
              <w:br/>
              <w:t>Travelling cables</w:t>
            </w:r>
          </w:p>
        </w:tc>
        <w:tc>
          <w:tcPr>
            <w:tcW w:type="dxa" w:w="2835"/>
          </w:tcPr>
          <w:p>
            <w:pPr>
              <w:spacing w:before="40" w:after="60" w:line="252" w:lineRule="auto"/>
            </w:pPr>
            <w:r>
              <w:rPr>
                <w:sz w:val="19"/>
              </w:rPr>
              <w:t>在固定设备与移动轿厢之间传送电源及控制信号。</w:t>
            </w:r>
          </w:p>
        </w:tc>
        <w:tc>
          <w:tcPr>
            <w:tcW w:type="dxa" w:w="4309"/>
          </w:tcPr>
          <w:p>
            <w:pPr>
              <w:spacing w:before="40" w:after="60" w:line="252" w:lineRule="auto"/>
            </w:pPr>
            <w:r>
              <w:rPr>
                <w:sz w:val="19"/>
              </w:rPr>
              <w:t>Carry power and control signals between fixed equipment and the moving car.</w:t>
            </w:r>
          </w:p>
        </w:tc>
      </w:tr>
    </w:tbl>
    <w:p>
      <w:pPr>
        <w:pStyle w:val="Heading2"/>
      </w:pPr>
      <w:r>
        <w:t>2.2 运作过程 / Operation</w:t>
      </w:r>
    </w:p>
    <w:p>
      <w:r>
        <w:t>上升时，电动机驱动油泵，液压油经阀组和闸阀进入油缸，使柱塞伸出并直接顶升轿厢。停止时，阀组保持油缸内的油液。下降时，阀组控制油液回流油箱的速度，使柱塞及轿厢受控下降。正常运行时闸阀保持开启。</w:t>
      </w:r>
    </w:p>
    <w:p>
      <w:r>
        <w:t>During ascent, the motor drives the pump, and oil enters the cylinder through the valve block and gate valve, extending the plunger and directly raising the car. During holding, the valve block retains oil in the cylinder. During descent, it controls the rate of return to the tank so that the plunger and car descend in a controlled manner. The gate valve remains open during normal operation.</w:t>
      </w:r>
    </w:p>
    <w:p>
      <w:pPr>
        <w:sectPr>
          <w:pgSz w:w="11906" w:h="16838"/>
          <w:pgMar w:top="794" w:right="794" w:bottom="794" w:left="794" w:header="340" w:footer="340" w:gutter="0"/>
          <w:cols w:space="720"/>
          <w:docGrid w:linePitch="360"/>
        </w:sectPr>
      </w:pPr>
    </w:p>
    <w:p>
      <w:pPr>
        <w:spacing w:after="0"/>
        <w:jc w:val="center"/>
      </w:pPr>
      <w:r>
        <w:drawing>
          <wp:inline xmlns:a="http://schemas.openxmlformats.org/drawingml/2006/main" xmlns:pic="http://schemas.openxmlformats.org/drawingml/2006/picture">
            <wp:extent cx="9540000" cy="6748658"/>
            <wp:docPr id="2" name="Picture 2"/>
            <wp:cNvGraphicFramePr>
              <a:graphicFrameLocks noChangeAspect="1"/>
            </wp:cNvGraphicFramePr>
            <a:graphic>
              <a:graphicData uri="http://schemas.openxmlformats.org/drawingml/2006/picture">
                <pic:pic>
                  <pic:nvPicPr>
                    <pic:cNvPr id="0" name="PIA5704_Q1_Hydraulic_Clear.png"/>
                    <pic:cNvPicPr/>
                  </pic:nvPicPr>
                  <pic:blipFill>
                    <a:blip r:embed="rId12"/>
                    <a:stretch>
                      <a:fillRect/>
                    </a:stretch>
                  </pic:blipFill>
                  <pic:spPr>
                    <a:xfrm>
                      <a:off x="0" y="0"/>
                      <a:ext cx="9540000" cy="6748658"/>
                    </a:xfrm>
                    <a:prstGeom prst="rect"/>
                  </pic:spPr>
                </pic:pic>
              </a:graphicData>
            </a:graphic>
          </wp:inline>
        </w:drawing>
      </w:r>
    </w:p>
    <w:sectPr w:rsidR="00FC693F" w:rsidRPr="0006063C" w:rsidSect="00034616">
      <w:pgSz w:w="16838" w:h="11906" w:orient="landscape"/>
      <w:pgMar w:top="794" w:right="794" w:bottom="794" w:left="79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PIA5704 |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eastAsia="Noto Sans CJK SC"/>
      <w:b/>
      <w:bCs/>
      <w:color w:val="17364D"/>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Noto Sans CJK SC"/>
      <w:b/>
      <w:bCs/>
      <w:color w:val="1736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eastAsia="Noto Sans CJK SC"/>
      <w:color w:val="1736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CJK SC"/>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Noto Sans CJK SC"/>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PIA5704 Q1 — Major components and operational functions</dc:title>
  <dc:subject/>
  <dc:creator/>
  <cp:keywords/>
  <dc:description/>
  <cp:lastModifiedBy/>
  <cp:revision>1</cp:revision>
  <dcterms:created xsi:type="dcterms:W3CDTF">2013-12-23T23:15:00Z</dcterms:created>
  <dcterms:modified xsi:type="dcterms:W3CDTF">2013-12-23T23:15:00Z</dcterms:modified>
  <cp:category/>
</cp:coreProperties>
</file>