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Marginal income tax and payroll taxes jointly determine the reward from additional earnings; a NICs reduction should therefore be evaluated through their combined marginal burden (PIA6302, n.d.-b, pp. 12–13). The UK employee main NICs rate fell from 12% to 10% on 6 January 2024 and to 8% on 6 April (HMRC, 2024a).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(HMRC, 2024c).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applying the distinction between marginal income tax and payroll taxes (PIA6302, n.d.-b, pp. 12–13):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Indifference curves and budget constraints explain how workers allocate time between employment and leisure (PIA6302, n.d.-a, pp. 43–45, 54–55).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Labour-supply elasticity is central to assessing the efficiency effects of taxation (PIA6302, n.d.-c, p. 19). The OBR accordingly uses group-specific behavioural assumptions and acknowledges their uncertainty (OBR, 2024a, paragraphs 4–15). Fixed hours, caring commitments and benefit withdrawal may constrain responses. The expected efficiency gain consequently depends on who can adjust behaviour, rather than on an assumption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A consistent Hicksian decomposition of a higher net wage.</w:t>
      </w:r>
    </w:p>
    <w:p>
      <w:pPr>
        <w:pStyle w:val="Caption"/>
      </w:pPr>
      <w:r>
        <w:t>Source: Author’s theoretical illustration based on Meghir and Phillips (2010), using indifference curves and budget constraints (PIA6302, n.d.-a, pp. 43–45). Illustration uses U = C^0.6 L^0.4, a 16-hour time endowment, non-labour income of 20 units, and net wages of 10 and 12 units. The compensated budget is tangent to the original indifference curve at Ec. All values and choices are hypothetical. This smooth-budget example is not the kinked UK NICs schedule or an estimate of actual preferences.</w:t>
      </w:r>
    </w:p>
    <w:p>
      <w:r>
        <w:br w:type="page"/>
      </w:r>
    </w:p>
    <w:p>
      <w:pPr>
        <w:pStyle w:val="Heading1"/>
      </w:pPr>
      <w:r>
        <w:t>3.3 Laffer curve and the fiscal limit</w:t>
      </w:r>
    </w:p>
    <w:p>
      <w:r>
        <w:t>Revenue maximisation and optimal taxation are distinct objectives (PIA6302, n.d.-c, pp. 10–11, 18–19). With R = tB(t), a rate cut raises revenue only if taxable-base expansion outweighs the mechanical loss. Figure C3 illustrates this condition without identifying the UK’s position or a welfare-maximising rate (Hemming and Kay, 1980). The OBR projected 98,000 additional FTEs of labour supply and approximately 20% recovery of the March measures’ static fiscal cost (OBR, 2024b, paragraphs 3.9–3.10). Both are forecasts; FTEs represent aggregate hours, not necessarily new jobs. Partial recovery does not establish self-financing.</w:t>
      </w:r>
    </w:p>
    <w:p>
      <w:r>
        <w:t>Efficiency consequently requires comparing incentive gains with the opportunity cost of forgone revenue. Welfare choices face a fiscal constraint. Investment income may provide a less distortionary funding source, but recurring returns must be distinguished from one-off asset sales (PIA6302, n.d.-a, pp. 54–55; n.d.-d, pp. 37, 40). Such alternatives require evidence of available and sustainable returns before they can be treated as funding for the UK cut. The defensible conclusion is a plausible improvement in work incentives, whose welfare value depends on behavioural responsiveness and credible financing.</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a possibility rather than an estimated UK optimum.</w:t>
      </w:r>
    </w:p>
    <w:p>
      <w:pPr>
        <w:pStyle w:val="Caption"/>
      </w:pPr>
      <w:r>
        <w:t>Source: Author’s stylised illustration of R = tB(t), informed by Hemming and Kay (1980) and the tax-strategy framework (PIA6302, n.d.-c, p. 18). The inverted-U shape and location of t* are assumed for exposition; neither is estimated from UK NICs data. A revenue-maximising rate is also not necessarily a welfare-maximising rate. The case-specific 20% cost-offset estimate is from OBR (2024b), not from this diagram.</w:t>
      </w:r>
    </w:p>
    <w:p>
      <w:r>
        <w:br w:type="page"/>
      </w:r>
    </w:p>
    <w:p>
      <w:pPr>
        <w:pStyle w:val="Heading1"/>
      </w:pPr>
      <w:r>
        <w:t>References</w:t>
      </w:r>
    </w:p>
    <w:p>
      <w:pPr>
        <w:pStyle w:val="Caption"/>
      </w:pPr>
      <w:r>
        <w:t>Author–date references. Original source links and locators are provided for checking; forecasts retain their original policy and time horizon. For course materials, page references identify PDF page positions, counted from the first page; n.d. indicates that no publication date is established. HMRC and OBR provide the UK policy evidence.</w:t>
      </w:r>
    </w:p>
    <w:p>
      <w:pPr>
        <w:keepNext/>
      </w:pPr>
      <w:r>
        <w:t>HM Revenue &amp; Customs [HMRC] (2024a). Reduction to the main rates of primary Class 1 and Class 4 National Insurance contributions. 7 March.</w:t>
      </w:r>
    </w:p>
    <w:p>
      <w:hyperlink r:id="rId14">
        <w: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t>Open original source</w:t>
        </w:r>
      </w:hyperlink>
    </w:p>
    <w:p>
      <w:pPr>
        <w:pStyle w:val="Caption"/>
      </w:pPr>
      <w:r>
        <w:t>Locators: Class 1 National Insurance thresholds (annual upper earnings limit £50,270); employee contribution rates (8% / 2%).</w:t>
      </w:r>
    </w:p>
    <w:p>
      <w:pPr>
        <w:keepNext/>
      </w:pPr>
      <w:r>
        <w:t>Office for Budget Responsibility [OBR] (2024a). The labour supply effects of the Autumn 2023 National Insurance Contributions cut. 8 February.</w:t>
      </w:r>
    </w:p>
    <w:p>
      <w:hyperlink r:id="rId17">
        <w: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keepNext/>
      </w:pPr>
      <w:r>
        <w:t>Meghir, C. and Phillips, D. (2010). “Labour supply and taxes.” In Dimensions of Tax Design: The Mirrlees Review. Oxford University Press.</w:t>
      </w:r>
    </w:p>
    <w:p>
      <w:hyperlink r:id="rId18">
        <w:r>
          <w:t>Open original source</w:t>
        </w:r>
      </w:hyperlink>
    </w:p>
    <w:p>
      <w:pPr>
        <w:pStyle w:val="Caption"/>
      </w:pPr>
      <w:r>
        <w:t>Locator: labour-supply mechanisms, income and substitution effects and the interpretation of empirical responses.</w:t>
      </w:r>
    </w:p>
    <w:p>
      <w:pPr>
        <w:keepNext/>
      </w:pPr>
      <w:r>
        <w:t>Hemming, R. and Kay, J. A. (1980). “The Laffer curve.” Fiscal Studies, 1(2), pp. 83–90. DOI: 10.1111/j.1475-5890.1980.tb00554.x.</w:t>
      </w:r>
    </w:p>
    <w:p>
      <w:hyperlink r:id="rId19">
        <w:r>
          <w:t>Open original source</w:t>
        </w:r>
      </w:hyperlink>
    </w:p>
    <w:p>
      <w:pPr>
        <w:pStyle w:val="Caption"/>
      </w:pPr>
      <w:r>
        <w:t>Used for the conceptual revenue argument, not an estimate of UK NICs in 2024.</w:t>
      </w:r>
    </w:p>
    <w:p>
      <w:pPr>
        <w:keepNext/>
      </w:pPr>
      <w:r>
        <w:t>Office for Budget Responsibility [OBR] (2024b). Economic and fiscal outlook – March 2024. CP 1027. 6 March.</w:t>
      </w:r>
    </w:p>
    <w:p>
      <w:hyperlink r:id="rId20">
        <w:r>
          <w:t>Open original source</w:t>
        </w:r>
      </w:hyperlink>
    </w:p>
    <w:p>
      <w:pPr>
        <w:pStyle w:val="Caption"/>
      </w:pPr>
      <w:r>
        <w:t>Locators: paragraphs 3.7–3.10, especially 3.9 (98,000 FTE) and 3.10 (approximately 20% static-cost offset); Box 3.2. Contemporary forecasts only.</w:t>
      </w:r>
    </w:p>
    <w:p>
      <w:pPr>
        <w:keepNext/>
      </w:pPr>
      <w:r>
        <w:t>PIA6302 course materials (n.d.-a). Fiscal Spending: Social Welfare versus Economic Investment [lecture slides].</w:t>
      </w:r>
    </w:p>
    <w:p>
      <w:r>
        <w:t>Source: supplied course materials; relevant PDF pages are listed below.</w:t>
      </w:r>
    </w:p>
    <w:p>
      <w:pPr>
        <w:pStyle w:val="Caption"/>
      </w:pPr>
      <w:r>
        <w:t>Relevant PDF pages: 43–45 (indifference curves and marginal rate of substitution); 54–55 (efficiency–equity trade-off under the fiscal budget constraint). Applied here to work decisions and welfare comparisons.</w:t>
      </w:r>
    </w:p>
    <w:p>
      <w:pPr>
        <w:keepNext/>
      </w:pPr>
      <w:r>
        <w:t>PIA6302 course materials (n.d.-b). Tax Structure [lecture slides].</w:t>
      </w:r>
    </w:p>
    <w:p>
      <w:r>
        <w:t>Source: supplied course materials; relevant PDF pages are listed below.</w:t>
      </w:r>
    </w:p>
    <w:p>
      <w:pPr>
        <w:pStyle w:val="Caption"/>
      </w:pPr>
      <w:r>
        <w:t>Relevant PDF pages: 12 (marginal tax rates), 13 (payroll taxes), 25 (multiple components of tax burden). These are tax-structure concepts illustrated with US examples, not sources for UK rates.</w:t>
      </w:r>
    </w:p>
    <w:p>
      <w:pPr>
        <w:keepNext/>
      </w:pPr>
      <w:r>
        <w:t>PIA6302 course materials (n.d.-c). Tax Strategies [lecture slides].</w:t>
      </w:r>
    </w:p>
    <w:p>
      <w:r>
        <w:t>Source: supplied course materials; relevant PDF pages are listed below.</w:t>
      </w:r>
    </w:p>
    <w:p>
      <w:pPr>
        <w:pStyle w:val="Caption"/>
      </w:pPr>
      <w:r>
        <w:t>Relevant PDF pages: 10–11 (strategy, efficiency and revenue adequacy); 18 (Laffer curve and optimal versus revenue-maximising rates); 19 (labour-supply elasticity and optimal taxation). Printed slide numbers can differ from PDF page positions.</w:t>
      </w:r>
    </w:p>
    <w:p>
      <w:pPr>
        <w:keepNext/>
      </w:pPr>
      <w:r>
        <w:t>PIA6302 course materials (n.d.-d). Public Investment [lecture slides].</w:t>
      </w:r>
    </w:p>
    <w:p>
      <w:r>
        <w:t>Source: supplied course materials; relevant PDF pages are listed below.</w:t>
      </w:r>
    </w:p>
    <w:p>
      <w:pPr>
        <w:pStyle w:val="Caption"/>
      </w:pPr>
      <w:r>
        <w:t>Relevant PDF pages: 37 (investment income and labour–leisure distortions); 40 (one-off asset disposal versus recurring financing). These are conceptual comparisons, not estimates of available UK funding.</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Economic Efficiency — Theoretical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19" Type="http://schemas.openxmlformats.org/officeDocument/2006/relationships/hyperlink" Target="https://ifs.org.uk/journals/laffer-curve" TargetMode="External"/><Relationship Id="rId20" Type="http://schemas.openxmlformats.org/officeDocument/2006/relationships/hyperlink" Target="https://obr.uk/efo/economic-and-fiscal-outlook-marc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