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Q1</w:t>
      </w:r>
    </w:p>
    <w:p>
      <w:pPr>
        <w:pStyle w:val="Heading1"/>
      </w:pPr>
      <w:r>
        <w:t>1 电力曳引式升降机 / Electric traction lift</w:t>
      </w:r>
    </w:p>
    <w:p>
      <w:r>
        <w:t>电力曳引式升降机由驱动电动机带动曳引轮，利用曳引轮与悬吊绳之间的摩擦传递驱动力。悬吊绳连接轿厢和对重，使两者沿各自导轨反向移动。对重平衡轿厢及部分载荷重量，从而减少不平衡负载及所需驱动功率。</w:t>
      </w:r>
    </w:p>
    <w:p>
      <w:r>
        <w:t>An electric traction lift uses a Drive motor to rotate a Drive sheave. Friction between the Drive sheave and Suspension rope transmits the driving force. The Suspension rope connects the Car and Counterweight so that they move in opposite directions along their guide rails. The Counterweight balances the Car and part of its load, reducing the unbalanced load and driving power required.</w:t>
      </w:r>
    </w:p>
    <w:tbl>
      <w:tblPr>
        <w:tblStyle w:val="TableGrid"/>
        <w:tblW w:type="auto" w:w="0"/>
        <w:tblLayout w:type="fixed"/>
        <w:tblLook w:firstColumn="1" w:firstRow="1" w:lastColumn="0" w:lastRow="0" w:noHBand="0" w:noVBand="1" w:val="04A0"/>
      </w:tblPr>
      <w:tblGrid>
        <w:gridCol w:w="3288"/>
        <w:gridCol w:w="2750"/>
        <w:gridCol w:w="4337"/>
      </w:tblGrid>
      <w:tr>
        <w:trPr>
          <w:tblHeader/>
        </w:trPr>
        <w:tc>
          <w:tcPr>
            <w:tcW w:type="dxa" w:w="3288"/>
            <w:shd w:fill="E7EDF2"/>
          </w:tcPr>
          <w:p>
            <w:r>
              <w:t>部件 / Component</w:t>
            </w:r>
          </w:p>
        </w:tc>
        <w:tc>
          <w:tcPr>
            <w:tcW w:type="dxa" w:w="2750"/>
            <w:shd w:fill="E7EDF2"/>
          </w:tcPr>
          <w:p>
            <w:r>
              <w:t>功能</w:t>
            </w:r>
          </w:p>
        </w:tc>
        <w:tc>
          <w:tcPr>
            <w:tcW w:type="dxa" w:w="4337"/>
            <w:shd w:fill="E7EDF2"/>
          </w:tcPr>
          <w:p>
            <w:r>
              <w:t>Operational function</w:t>
            </w:r>
          </w:p>
        </w:tc>
      </w:tr>
      <w:tr>
        <w:trPr>
          <w:cantSplit/>
        </w:trPr>
        <w:tc>
          <w:tcPr>
            <w:tcW w:type="dxa" w:w="3288"/>
          </w:tcPr>
          <w:p>
            <w:pPr>
              <w:spacing w:before="40" w:after="60" w:line="247" w:lineRule="auto"/>
            </w:pPr>
            <w:r>
              <w:rPr>
                <w:sz w:val="18"/>
              </w:rPr>
              <w:t>控制器</w:t>
              <w:br/>
              <w:t>Controller</w:t>
            </w:r>
          </w:p>
        </w:tc>
        <w:tc>
          <w:tcPr>
            <w:tcW w:type="dxa" w:w="2750"/>
          </w:tcPr>
          <w:p>
            <w:pPr>
              <w:spacing w:before="40" w:after="60" w:line="247" w:lineRule="auto"/>
            </w:pPr>
            <w:r>
              <w:rPr>
                <w:sz w:val="18"/>
              </w:rPr>
              <w:t>接收层站按钮指令，协调驱动电动机、制动器、停车、平层和门机。</w:t>
            </w:r>
          </w:p>
        </w:tc>
        <w:tc>
          <w:tcPr>
            <w:tcW w:type="dxa" w:w="4337"/>
          </w:tcPr>
          <w:p>
            <w:pPr>
              <w:spacing w:before="40" w:after="60" w:line="247" w:lineRule="auto"/>
            </w:pPr>
            <w:r>
              <w:rPr>
                <w:sz w:val="18"/>
              </w:rPr>
              <w:t>Receives calls from the Landing pushbutton and coordinates the Drive motor, Brake, stopping, levelling and Door operator.</w:t>
            </w:r>
          </w:p>
        </w:tc>
      </w:tr>
      <w:tr>
        <w:trPr>
          <w:cantSplit/>
        </w:trPr>
        <w:tc>
          <w:tcPr>
            <w:tcW w:type="dxa" w:w="3288"/>
          </w:tcPr>
          <w:p>
            <w:pPr>
              <w:spacing w:before="40" w:after="60" w:line="247" w:lineRule="auto"/>
            </w:pPr>
            <w:r>
              <w:rPr>
                <w:sz w:val="18"/>
              </w:rPr>
              <w:t>驱动电动机</w:t>
              <w:br/>
              <w:t>Drive motor</w:t>
            </w:r>
          </w:p>
        </w:tc>
        <w:tc>
          <w:tcPr>
            <w:tcW w:type="dxa" w:w="2750"/>
          </w:tcPr>
          <w:p>
            <w:pPr>
              <w:spacing w:before="40" w:after="60" w:line="247" w:lineRule="auto"/>
            </w:pPr>
            <w:r>
              <w:rPr>
                <w:sz w:val="18"/>
              </w:rPr>
              <w:t>提供转动曳引轮的机械动力。</w:t>
            </w:r>
          </w:p>
        </w:tc>
        <w:tc>
          <w:tcPr>
            <w:tcW w:type="dxa" w:w="4337"/>
          </w:tcPr>
          <w:p>
            <w:pPr>
              <w:spacing w:before="40" w:after="60" w:line="247" w:lineRule="auto"/>
            </w:pPr>
            <w:r>
              <w:rPr>
                <w:sz w:val="18"/>
              </w:rPr>
              <w:t>Provides mechanical power to rotate the Drive sheave.</w:t>
            </w:r>
          </w:p>
        </w:tc>
      </w:tr>
      <w:tr>
        <w:trPr>
          <w:cantSplit/>
        </w:trPr>
        <w:tc>
          <w:tcPr>
            <w:tcW w:type="dxa" w:w="3288"/>
          </w:tcPr>
          <w:p>
            <w:pPr>
              <w:spacing w:before="40" w:after="60" w:line="247" w:lineRule="auto"/>
            </w:pPr>
            <w:r>
              <w:rPr>
                <w:sz w:val="18"/>
              </w:rPr>
              <w:t>制动器</w:t>
              <w:br/>
              <w:t>Brake</w:t>
            </w:r>
          </w:p>
        </w:tc>
        <w:tc>
          <w:tcPr>
            <w:tcW w:type="dxa" w:w="2750"/>
          </w:tcPr>
          <w:p>
            <w:pPr>
              <w:spacing w:before="40" w:after="60" w:line="247" w:lineRule="auto"/>
            </w:pPr>
            <w:r>
              <w:rPr>
                <w:sz w:val="18"/>
              </w:rPr>
              <w:t>使驱动系统停止并保持静止；采用弹簧施闸、电力释放的安排。</w:t>
            </w:r>
          </w:p>
        </w:tc>
        <w:tc>
          <w:tcPr>
            <w:tcW w:type="dxa" w:w="4337"/>
          </w:tcPr>
          <w:p>
            <w:pPr>
              <w:spacing w:before="40" w:after="60" w:line="247" w:lineRule="auto"/>
            </w:pPr>
            <w:r>
              <w:rPr>
                <w:sz w:val="18"/>
              </w:rPr>
              <w:t>Stops and holds the drive system; it is spring-applied and electrically released.</w:t>
            </w:r>
          </w:p>
        </w:tc>
      </w:tr>
      <w:tr>
        <w:trPr>
          <w:cantSplit/>
        </w:trPr>
        <w:tc>
          <w:tcPr>
            <w:tcW w:type="dxa" w:w="3288"/>
          </w:tcPr>
          <w:p>
            <w:pPr>
              <w:spacing w:before="40" w:after="60" w:line="247" w:lineRule="auto"/>
            </w:pPr>
            <w:r>
              <w:rPr>
                <w:sz w:val="18"/>
              </w:rPr>
              <w:t>曳引轮</w:t>
              <w:br/>
              <w:t>Drive sheave</w:t>
            </w:r>
          </w:p>
        </w:tc>
        <w:tc>
          <w:tcPr>
            <w:tcW w:type="dxa" w:w="2750"/>
          </w:tcPr>
          <w:p>
            <w:pPr>
              <w:spacing w:before="40" w:after="60" w:line="247" w:lineRule="auto"/>
            </w:pPr>
            <w:r>
              <w:rPr>
                <w:sz w:val="18"/>
              </w:rPr>
              <w:t>通过与悬吊绳之间的摩擦传递驱动力。</w:t>
            </w:r>
          </w:p>
        </w:tc>
        <w:tc>
          <w:tcPr>
            <w:tcW w:type="dxa" w:w="4337"/>
          </w:tcPr>
          <w:p>
            <w:pPr>
              <w:spacing w:before="40" w:after="60" w:line="247" w:lineRule="auto"/>
            </w:pPr>
            <w:r>
              <w:rPr>
                <w:sz w:val="18"/>
              </w:rPr>
              <w:t>Transmits driving force through friction with the Suspension rope.</w:t>
            </w:r>
          </w:p>
        </w:tc>
      </w:tr>
      <w:tr>
        <w:trPr>
          <w:cantSplit/>
        </w:trPr>
        <w:tc>
          <w:tcPr>
            <w:tcW w:type="dxa" w:w="3288"/>
            <w:shd w:fill="FFF0F0"/>
          </w:tcPr>
          <w:p>
            <w:pPr>
              <w:spacing w:before="40" w:after="60" w:line="247" w:lineRule="auto"/>
            </w:pPr>
            <w:r>
              <w:rPr>
                <w:b/>
                <w:color w:val="B71920"/>
                <w:sz w:val="18"/>
              </w:rPr>
              <w:t>悬吊绳</w:t>
              <w:br/>
              <w:t>Suspension rope</w:t>
            </w:r>
          </w:p>
        </w:tc>
        <w:tc>
          <w:tcPr>
            <w:tcW w:type="dxa" w:w="2750"/>
          </w:tcPr>
          <w:p>
            <w:pPr>
              <w:spacing w:before="40" w:after="60" w:line="247" w:lineRule="auto"/>
            </w:pPr>
            <w:r>
              <w:rPr>
                <w:sz w:val="18"/>
              </w:rPr>
              <w:t>悬吊轿厢和对重，使两者沿各自导轨反向移动。</w:t>
            </w:r>
          </w:p>
        </w:tc>
        <w:tc>
          <w:tcPr>
            <w:tcW w:type="dxa" w:w="4337"/>
          </w:tcPr>
          <w:p>
            <w:pPr>
              <w:spacing w:before="40" w:after="60" w:line="247" w:lineRule="auto"/>
            </w:pPr>
            <w:r>
              <w:rPr>
                <w:sz w:val="18"/>
              </w:rPr>
              <w:t>Suspends the Car and Counterweight and moves them in opposite directions along their respective guide rails.</w:t>
            </w:r>
          </w:p>
        </w:tc>
      </w:tr>
      <w:tr>
        <w:trPr>
          <w:cantSplit/>
        </w:trPr>
        <w:tc>
          <w:tcPr>
            <w:tcW w:type="dxa" w:w="3288"/>
            <w:shd w:fill="FFF0F0"/>
          </w:tcPr>
          <w:p>
            <w:pPr>
              <w:spacing w:before="40" w:after="60" w:line="247" w:lineRule="auto"/>
            </w:pPr>
            <w:r>
              <w:rPr>
                <w:b/>
                <w:color w:val="B71920"/>
                <w:sz w:val="18"/>
              </w:rPr>
              <w:t>限速器</w:t>
              <w:br/>
              <w:t>Overspeed governor</w:t>
            </w:r>
          </w:p>
        </w:tc>
        <w:tc>
          <w:tcPr>
            <w:tcW w:type="dxa" w:w="2750"/>
          </w:tcPr>
          <w:p>
            <w:pPr>
              <w:spacing w:before="40" w:after="60" w:line="247" w:lineRule="auto"/>
            </w:pPr>
            <w:r>
              <w:rPr>
                <w:sz w:val="18"/>
              </w:rPr>
              <w:t>检测运行速度；达到预定超速值时触发安全停止，并在需要时使安全钳动作。</w:t>
            </w:r>
          </w:p>
        </w:tc>
        <w:tc>
          <w:tcPr>
            <w:tcW w:type="dxa" w:w="4337"/>
          </w:tcPr>
          <w:p>
            <w:pPr>
              <w:spacing w:before="40" w:after="60" w:line="247" w:lineRule="auto"/>
            </w:pPr>
            <w:r>
              <w:rPr>
                <w:sz w:val="18"/>
              </w:rPr>
              <w:t>Monitors speed and initiates safety stopping at a predetermined overspeed, applying the Safety gear when necessary.</w:t>
            </w:r>
          </w:p>
        </w:tc>
      </w:tr>
      <w:tr>
        <w:trPr>
          <w:cantSplit/>
        </w:trPr>
        <w:tc>
          <w:tcPr>
            <w:tcW w:type="dxa" w:w="3288"/>
          </w:tcPr>
          <w:p>
            <w:pPr>
              <w:spacing w:before="40" w:after="60" w:line="247" w:lineRule="auto"/>
            </w:pPr>
            <w:r>
              <w:rPr>
                <w:sz w:val="18"/>
              </w:rPr>
              <w:t>门机</w:t>
              <w:br/>
              <w:t>Door operator</w:t>
            </w:r>
          </w:p>
        </w:tc>
        <w:tc>
          <w:tcPr>
            <w:tcW w:type="dxa" w:w="2750"/>
          </w:tcPr>
          <w:p>
            <w:pPr>
              <w:spacing w:before="40" w:after="60" w:line="247" w:lineRule="auto"/>
            </w:pPr>
            <w:r>
              <w:rPr>
                <w:sz w:val="18"/>
              </w:rPr>
              <w:t>驱动轿门开启和关闭。</w:t>
            </w:r>
          </w:p>
        </w:tc>
        <w:tc>
          <w:tcPr>
            <w:tcW w:type="dxa" w:w="4337"/>
          </w:tcPr>
          <w:p>
            <w:pPr>
              <w:spacing w:before="40" w:after="60" w:line="247" w:lineRule="auto"/>
            </w:pPr>
            <w:r>
              <w:rPr>
                <w:sz w:val="18"/>
              </w:rPr>
              <w:t>Opens and closes the Car doors.</w:t>
            </w:r>
          </w:p>
        </w:tc>
      </w:tr>
      <w:tr>
        <w:trPr>
          <w:cantSplit/>
        </w:trPr>
        <w:tc>
          <w:tcPr>
            <w:tcW w:type="dxa" w:w="3288"/>
          </w:tcPr>
          <w:p>
            <w:pPr>
              <w:spacing w:before="40" w:after="60" w:line="247" w:lineRule="auto"/>
            </w:pPr>
            <w:r>
              <w:rPr>
                <w:sz w:val="18"/>
              </w:rPr>
              <w:t>轿厢</w:t>
              <w:br/>
              <w:t>Car</w:t>
            </w:r>
          </w:p>
        </w:tc>
        <w:tc>
          <w:tcPr>
            <w:tcW w:type="dxa" w:w="2750"/>
          </w:tcPr>
          <w:p>
            <w:pPr>
              <w:spacing w:before="40" w:after="60" w:line="247" w:lineRule="auto"/>
            </w:pPr>
            <w:r>
              <w:rPr>
                <w:sz w:val="18"/>
              </w:rPr>
              <w:t>承载乘客或货物。</w:t>
            </w:r>
          </w:p>
        </w:tc>
        <w:tc>
          <w:tcPr>
            <w:tcW w:type="dxa" w:w="4337"/>
          </w:tcPr>
          <w:p>
            <w:pPr>
              <w:spacing w:before="40" w:after="60" w:line="247" w:lineRule="auto"/>
            </w:pPr>
            <w:r>
              <w:rPr>
                <w:sz w:val="18"/>
              </w:rPr>
              <w:t>Carries passengers or goods.</w:t>
            </w:r>
          </w:p>
        </w:tc>
      </w:tr>
      <w:tr>
        <w:trPr>
          <w:cantSplit/>
        </w:trPr>
        <w:tc>
          <w:tcPr>
            <w:tcW w:type="dxa" w:w="3288"/>
          </w:tcPr>
          <w:p>
            <w:pPr>
              <w:spacing w:before="40" w:after="60" w:line="247" w:lineRule="auto"/>
            </w:pPr>
            <w:r>
              <w:rPr>
                <w:sz w:val="18"/>
              </w:rPr>
              <w:t>轿门</w:t>
              <w:br/>
              <w:t>Car doors</w:t>
            </w:r>
          </w:p>
        </w:tc>
        <w:tc>
          <w:tcPr>
            <w:tcW w:type="dxa" w:w="2750"/>
          </w:tcPr>
          <w:p>
            <w:pPr>
              <w:spacing w:before="40" w:after="60" w:line="247" w:lineRule="auto"/>
            </w:pPr>
            <w:r>
              <w:rPr>
                <w:sz w:val="18"/>
              </w:rPr>
              <w:t>关闭轿厢入口；正常运行时保持关闭。</w:t>
            </w:r>
          </w:p>
        </w:tc>
        <w:tc>
          <w:tcPr>
            <w:tcW w:type="dxa" w:w="4337"/>
          </w:tcPr>
          <w:p>
            <w:pPr>
              <w:spacing w:before="40" w:after="60" w:line="247" w:lineRule="auto"/>
            </w:pPr>
            <w:r>
              <w:rPr>
                <w:sz w:val="18"/>
              </w:rPr>
              <w:t>Close the Car entrance and remain closed during normal travel.</w:t>
            </w:r>
          </w:p>
        </w:tc>
      </w:tr>
      <w:tr>
        <w:trPr>
          <w:cantSplit/>
        </w:trPr>
        <w:tc>
          <w:tcPr>
            <w:tcW w:type="dxa" w:w="3288"/>
          </w:tcPr>
          <w:p>
            <w:pPr>
              <w:spacing w:before="40" w:after="60" w:line="247" w:lineRule="auto"/>
            </w:pPr>
            <w:r>
              <w:rPr>
                <w:sz w:val="18"/>
              </w:rPr>
              <w:t>护脚板</w:t>
              <w:br/>
              <w:t>Apron</w:t>
            </w:r>
          </w:p>
        </w:tc>
        <w:tc>
          <w:tcPr>
            <w:tcW w:type="dxa" w:w="2750"/>
          </w:tcPr>
          <w:p>
            <w:pPr>
              <w:spacing w:before="40" w:after="60" w:line="247" w:lineRule="auto"/>
            </w:pPr>
            <w:r>
              <w:rPr>
                <w:sz w:val="18"/>
              </w:rPr>
              <w:t>向下遮护轿厢入口下方的间隙，降低人员跌入井道的风险。</w:t>
            </w:r>
          </w:p>
        </w:tc>
        <w:tc>
          <w:tcPr>
            <w:tcW w:type="dxa" w:w="4337"/>
          </w:tcPr>
          <w:p>
            <w:pPr>
              <w:spacing w:before="40" w:after="60" w:line="247" w:lineRule="auto"/>
            </w:pPr>
            <w:r>
              <w:rPr>
                <w:sz w:val="18"/>
              </w:rPr>
              <w:t>Extends below the Car entrance to guard the gap beneath it and reduce the risk of falling into the Lift well.</w:t>
            </w:r>
          </w:p>
        </w:tc>
      </w:tr>
      <w:tr>
        <w:trPr>
          <w:cantSplit/>
        </w:trPr>
        <w:tc>
          <w:tcPr>
            <w:tcW w:type="dxa" w:w="3288"/>
          </w:tcPr>
          <w:p>
            <w:pPr>
              <w:spacing w:before="40" w:after="60" w:line="247" w:lineRule="auto"/>
            </w:pPr>
            <w:r>
              <w:rPr>
                <w:sz w:val="18"/>
              </w:rPr>
              <w:t>层站指示器</w:t>
              <w:br/>
              <w:t>Landing indicator</w:t>
            </w:r>
          </w:p>
        </w:tc>
        <w:tc>
          <w:tcPr>
            <w:tcW w:type="dxa" w:w="2750"/>
          </w:tcPr>
          <w:p>
            <w:pPr>
              <w:spacing w:before="40" w:after="60" w:line="247" w:lineRule="auto"/>
            </w:pPr>
            <w:r>
              <w:rPr>
                <w:sz w:val="18"/>
              </w:rPr>
              <w:t>向候梯乘客显示楼层或运行方向等信息。</w:t>
            </w:r>
          </w:p>
        </w:tc>
        <w:tc>
          <w:tcPr>
            <w:tcW w:type="dxa" w:w="4337"/>
          </w:tcPr>
          <w:p>
            <w:pPr>
              <w:spacing w:before="40" w:after="60" w:line="247" w:lineRule="auto"/>
            </w:pPr>
            <w:r>
              <w:rPr>
                <w:sz w:val="18"/>
              </w:rPr>
              <w:t>Displays information such as floor position or direction to waiting passengers.</w:t>
            </w:r>
          </w:p>
        </w:tc>
      </w:tr>
      <w:tr>
        <w:trPr>
          <w:cantSplit/>
        </w:trPr>
        <w:tc>
          <w:tcPr>
            <w:tcW w:type="dxa" w:w="3288"/>
          </w:tcPr>
          <w:p>
            <w:pPr>
              <w:spacing w:before="40" w:after="60" w:line="247" w:lineRule="auto"/>
            </w:pPr>
            <w:r>
              <w:rPr>
                <w:sz w:val="18"/>
              </w:rPr>
              <w:t>层站按钮</w:t>
              <w:br/>
              <w:t>Landing pushbutton</w:t>
            </w:r>
          </w:p>
        </w:tc>
        <w:tc>
          <w:tcPr>
            <w:tcW w:type="dxa" w:w="2750"/>
          </w:tcPr>
          <w:p>
            <w:pPr>
              <w:spacing w:before="40" w:after="60" w:line="247" w:lineRule="auto"/>
            </w:pPr>
            <w:r>
              <w:rPr>
                <w:sz w:val="18"/>
              </w:rPr>
              <w:t>向控制器发出召梯指令。</w:t>
            </w:r>
          </w:p>
        </w:tc>
        <w:tc>
          <w:tcPr>
            <w:tcW w:type="dxa" w:w="4337"/>
          </w:tcPr>
          <w:p>
            <w:pPr>
              <w:spacing w:before="40" w:after="60" w:line="247" w:lineRule="auto"/>
            </w:pPr>
            <w:r>
              <w:rPr>
                <w:sz w:val="18"/>
              </w:rPr>
              <w:t>Registers a landing call with the Controller.</w:t>
            </w:r>
          </w:p>
        </w:tc>
      </w:tr>
    </w:tbl>
    <w:p>
      <w:r>
        <w:br w:type="page"/>
      </w:r>
    </w:p>
    <w:p>
      <w:pPr>
        <w:pStyle w:val="Heading1"/>
      </w:pPr>
      <w:r>
        <w:t>1.1 主要部件及功能（续） / Major components (continued)</w:t>
      </w:r>
    </w:p>
    <w:tbl>
      <w:tblPr>
        <w:tblStyle w:val="TableGrid"/>
        <w:tblW w:type="auto" w:w="0"/>
        <w:tblLayout w:type="fixed"/>
        <w:tblLook w:firstColumn="1" w:firstRow="1" w:lastColumn="0" w:lastRow="0" w:noHBand="0" w:noVBand="1" w:val="04A0"/>
      </w:tblPr>
      <w:tblGrid>
        <w:gridCol w:w="3288"/>
        <w:gridCol w:w="2750"/>
        <w:gridCol w:w="4337"/>
      </w:tblGrid>
      <w:tr>
        <w:trPr>
          <w:tblHeader/>
        </w:trPr>
        <w:tc>
          <w:tcPr>
            <w:tcW w:type="dxa" w:w="3288"/>
            <w:shd w:fill="E7EDF2"/>
          </w:tcPr>
          <w:p>
            <w:r>
              <w:t>部件 / Component</w:t>
            </w:r>
          </w:p>
        </w:tc>
        <w:tc>
          <w:tcPr>
            <w:tcW w:type="dxa" w:w="2750"/>
            <w:shd w:fill="E7EDF2"/>
          </w:tcPr>
          <w:p>
            <w:r>
              <w:t>功能</w:t>
            </w:r>
          </w:p>
        </w:tc>
        <w:tc>
          <w:tcPr>
            <w:tcW w:type="dxa" w:w="4337"/>
            <w:shd w:fill="E7EDF2"/>
          </w:tcPr>
          <w:p>
            <w:r>
              <w:t>Operational function</w:t>
            </w:r>
          </w:p>
        </w:tc>
      </w:tr>
      <w:tr>
        <w:trPr>
          <w:cantSplit/>
        </w:trPr>
        <w:tc>
          <w:tcPr>
            <w:tcW w:type="dxa" w:w="3288"/>
          </w:tcPr>
          <w:p>
            <w:pPr>
              <w:spacing w:before="40" w:after="60" w:line="247" w:lineRule="auto"/>
            </w:pPr>
            <w:r>
              <w:rPr>
                <w:sz w:val="18"/>
              </w:rPr>
              <w:t>井道</w:t>
              <w:br/>
              <w:t>Lift well</w:t>
            </w:r>
          </w:p>
        </w:tc>
        <w:tc>
          <w:tcPr>
            <w:tcW w:type="dxa" w:w="2750"/>
          </w:tcPr>
          <w:p>
            <w:pPr>
              <w:spacing w:before="40" w:after="60" w:line="247" w:lineRule="auto"/>
            </w:pPr>
            <w:r>
              <w:rPr>
                <w:sz w:val="18"/>
              </w:rPr>
              <w:t>围护轿厢、对重及相关设备的运行空间。</w:t>
            </w:r>
          </w:p>
        </w:tc>
        <w:tc>
          <w:tcPr>
            <w:tcW w:type="dxa" w:w="4337"/>
          </w:tcPr>
          <w:p>
            <w:pPr>
              <w:spacing w:before="40" w:after="60" w:line="247" w:lineRule="auto"/>
            </w:pPr>
            <w:r>
              <w:rPr>
                <w:sz w:val="18"/>
              </w:rPr>
              <w:t>Encloses the travel space of the Car, Counterweight and associated equipment.</w:t>
            </w:r>
          </w:p>
        </w:tc>
      </w:tr>
      <w:tr>
        <w:trPr>
          <w:cantSplit/>
        </w:trPr>
        <w:tc>
          <w:tcPr>
            <w:tcW w:type="dxa" w:w="3288"/>
          </w:tcPr>
          <w:p>
            <w:pPr>
              <w:spacing w:before="40" w:after="60" w:line="247" w:lineRule="auto"/>
            </w:pPr>
            <w:r>
              <w:rPr>
                <w:sz w:val="18"/>
              </w:rPr>
              <w:t>轿厢导轨</w:t>
              <w:br/>
              <w:t>Car guide rail</w:t>
            </w:r>
          </w:p>
        </w:tc>
        <w:tc>
          <w:tcPr>
            <w:tcW w:type="dxa" w:w="2750"/>
          </w:tcPr>
          <w:p>
            <w:pPr>
              <w:spacing w:before="40" w:after="60" w:line="247" w:lineRule="auto"/>
            </w:pPr>
            <w:r>
              <w:rPr>
                <w:sz w:val="18"/>
              </w:rPr>
              <w:t>引导轿厢垂直运行，并供安全钳作用。</w:t>
            </w:r>
          </w:p>
        </w:tc>
        <w:tc>
          <w:tcPr>
            <w:tcW w:type="dxa" w:w="4337"/>
          </w:tcPr>
          <w:p>
            <w:pPr>
              <w:spacing w:before="40" w:after="60" w:line="247" w:lineRule="auto"/>
            </w:pPr>
            <w:r>
              <w:rPr>
                <w:sz w:val="18"/>
              </w:rPr>
              <w:t>Guides the Car vertically and provides the surface on which the Safety gear acts.</w:t>
            </w:r>
          </w:p>
        </w:tc>
      </w:tr>
      <w:tr>
        <w:trPr>
          <w:cantSplit/>
        </w:trPr>
        <w:tc>
          <w:tcPr>
            <w:tcW w:type="dxa" w:w="3288"/>
            <w:shd w:fill="FFF0F0"/>
          </w:tcPr>
          <w:p>
            <w:pPr>
              <w:spacing w:before="40" w:after="60" w:line="247" w:lineRule="auto"/>
            </w:pPr>
            <w:r>
              <w:rPr>
                <w:b/>
                <w:color w:val="B71920"/>
                <w:sz w:val="18"/>
              </w:rPr>
              <w:t>安全钳</w:t>
              <w:br/>
              <w:t>Safety gear</w:t>
            </w:r>
          </w:p>
        </w:tc>
        <w:tc>
          <w:tcPr>
            <w:tcW w:type="dxa" w:w="2750"/>
          </w:tcPr>
          <w:p>
            <w:pPr>
              <w:spacing w:before="40" w:after="60" w:line="247" w:lineRule="auto"/>
            </w:pPr>
            <w:r>
              <w:rPr>
                <w:sz w:val="18"/>
              </w:rPr>
              <w:t>在向下超速或悬吊失效等情况下，作用于轿厢导轨，使轿厢停止并保持静止。</w:t>
            </w:r>
          </w:p>
        </w:tc>
        <w:tc>
          <w:tcPr>
            <w:tcW w:type="dxa" w:w="4337"/>
          </w:tcPr>
          <w:p>
            <w:pPr>
              <w:spacing w:before="40" w:after="60" w:line="247" w:lineRule="auto"/>
            </w:pPr>
            <w:r>
              <w:rPr>
                <w:sz w:val="18"/>
              </w:rPr>
              <w:t>Acts on the Car guide rail to stop and hold the Car during downward overspeed or suspension failure.</w:t>
            </w:r>
          </w:p>
        </w:tc>
      </w:tr>
      <w:tr>
        <w:trPr>
          <w:cantSplit/>
        </w:trPr>
        <w:tc>
          <w:tcPr>
            <w:tcW w:type="dxa" w:w="3288"/>
          </w:tcPr>
          <w:p>
            <w:pPr>
              <w:spacing w:before="40" w:after="60" w:line="247" w:lineRule="auto"/>
            </w:pPr>
            <w:r>
              <w:rPr>
                <w:sz w:val="18"/>
              </w:rPr>
              <w:t>随行电缆</w:t>
              <w:br/>
              <w:t>Travelling cables</w:t>
            </w:r>
          </w:p>
        </w:tc>
        <w:tc>
          <w:tcPr>
            <w:tcW w:type="dxa" w:w="2750"/>
          </w:tcPr>
          <w:p>
            <w:pPr>
              <w:spacing w:before="40" w:after="60" w:line="247" w:lineRule="auto"/>
            </w:pPr>
            <w:r>
              <w:rPr>
                <w:sz w:val="18"/>
              </w:rPr>
              <w:t>连接固定设备和移动轿厢，传送电源及控制信号。</w:t>
            </w:r>
          </w:p>
        </w:tc>
        <w:tc>
          <w:tcPr>
            <w:tcW w:type="dxa" w:w="4337"/>
          </w:tcPr>
          <w:p>
            <w:pPr>
              <w:spacing w:before="40" w:after="60" w:line="247" w:lineRule="auto"/>
            </w:pPr>
            <w:r>
              <w:rPr>
                <w:sz w:val="18"/>
              </w:rPr>
              <w:t>Carry power and control signals between fixed equipment and the moving Car.</w:t>
            </w:r>
          </w:p>
        </w:tc>
      </w:tr>
      <w:tr>
        <w:trPr>
          <w:cantSplit/>
        </w:trPr>
        <w:tc>
          <w:tcPr>
            <w:tcW w:type="dxa" w:w="3288"/>
          </w:tcPr>
          <w:p>
            <w:pPr>
              <w:spacing w:before="40" w:after="60" w:line="247" w:lineRule="auto"/>
            </w:pPr>
            <w:r>
              <w:rPr>
                <w:sz w:val="18"/>
              </w:rPr>
              <w:t>层门</w:t>
              <w:br/>
              <w:t>Landing doors</w:t>
            </w:r>
          </w:p>
        </w:tc>
        <w:tc>
          <w:tcPr>
            <w:tcW w:type="dxa" w:w="2750"/>
          </w:tcPr>
          <w:p>
            <w:pPr>
              <w:spacing w:before="40" w:after="60" w:line="247" w:lineRule="auto"/>
            </w:pPr>
            <w:r>
              <w:rPr>
                <w:sz w:val="18"/>
              </w:rPr>
              <w:t>关闭各楼层的井道入口；其联锁防止门未关闭锁紧时正常运行。</w:t>
            </w:r>
          </w:p>
        </w:tc>
        <w:tc>
          <w:tcPr>
            <w:tcW w:type="dxa" w:w="4337"/>
          </w:tcPr>
          <w:p>
            <w:pPr>
              <w:spacing w:before="40" w:after="60" w:line="247" w:lineRule="auto"/>
            </w:pPr>
            <w:r>
              <w:rPr>
                <w:sz w:val="18"/>
              </w:rPr>
              <w:t>Close the Lift well entrance at each landing; their interlocks prevent normal travel unless they are closed and locked.</w:t>
            </w:r>
          </w:p>
        </w:tc>
      </w:tr>
      <w:tr>
        <w:trPr>
          <w:cantSplit/>
        </w:trPr>
        <w:tc>
          <w:tcPr>
            <w:tcW w:type="dxa" w:w="3288"/>
          </w:tcPr>
          <w:p>
            <w:pPr>
              <w:spacing w:before="40" w:after="60" w:line="247" w:lineRule="auto"/>
            </w:pPr>
            <w:r>
              <w:rPr>
                <w:sz w:val="18"/>
              </w:rPr>
              <w:t>对重导轨</w:t>
              <w:br/>
              <w:t>Counterweight guide rail</w:t>
            </w:r>
          </w:p>
        </w:tc>
        <w:tc>
          <w:tcPr>
            <w:tcW w:type="dxa" w:w="2750"/>
          </w:tcPr>
          <w:p>
            <w:pPr>
              <w:spacing w:before="40" w:after="60" w:line="247" w:lineRule="auto"/>
            </w:pPr>
            <w:r>
              <w:rPr>
                <w:sz w:val="18"/>
              </w:rPr>
              <w:t>引导对重沿垂直路径运行，限制横向移动。</w:t>
            </w:r>
          </w:p>
        </w:tc>
        <w:tc>
          <w:tcPr>
            <w:tcW w:type="dxa" w:w="4337"/>
          </w:tcPr>
          <w:p>
            <w:pPr>
              <w:spacing w:before="40" w:after="60" w:line="247" w:lineRule="auto"/>
            </w:pPr>
            <w:r>
              <w:rPr>
                <w:sz w:val="18"/>
              </w:rPr>
              <w:t>Guides the Counterweight vertically and restrains lateral movement.</w:t>
            </w:r>
          </w:p>
        </w:tc>
      </w:tr>
      <w:tr>
        <w:trPr>
          <w:cantSplit/>
        </w:trPr>
        <w:tc>
          <w:tcPr>
            <w:tcW w:type="dxa" w:w="3288"/>
            <w:shd w:fill="FFF0F0"/>
          </w:tcPr>
          <w:p>
            <w:pPr>
              <w:spacing w:before="40" w:after="60" w:line="247" w:lineRule="auto"/>
            </w:pPr>
            <w:r>
              <w:rPr>
                <w:b/>
                <w:color w:val="B71920"/>
                <w:sz w:val="18"/>
              </w:rPr>
              <w:t>对重</w:t>
              <w:br/>
              <w:t>Counterweight</w:t>
            </w:r>
          </w:p>
        </w:tc>
        <w:tc>
          <w:tcPr>
            <w:tcW w:type="dxa" w:w="2750"/>
          </w:tcPr>
          <w:p>
            <w:pPr>
              <w:spacing w:before="40" w:after="60" w:line="247" w:lineRule="auto"/>
            </w:pPr>
            <w:r>
              <w:rPr>
                <w:sz w:val="18"/>
              </w:rPr>
              <w:t>平衡轿厢及部分载荷重量，减少驱动电动机需要克服的不平衡负载。</w:t>
            </w:r>
          </w:p>
        </w:tc>
        <w:tc>
          <w:tcPr>
            <w:tcW w:type="dxa" w:w="4337"/>
          </w:tcPr>
          <w:p>
            <w:pPr>
              <w:spacing w:before="40" w:after="60" w:line="247" w:lineRule="auto"/>
            </w:pPr>
            <w:r>
              <w:rPr>
                <w:sz w:val="18"/>
              </w:rPr>
              <w:t>Balances the Car and part of its load, reducing the unbalanced load that the Drive motor must overcome.</w:t>
            </w:r>
          </w:p>
        </w:tc>
      </w:tr>
      <w:tr>
        <w:trPr>
          <w:cantSplit/>
        </w:trPr>
        <w:tc>
          <w:tcPr>
            <w:tcW w:type="dxa" w:w="3288"/>
          </w:tcPr>
          <w:p>
            <w:pPr>
              <w:spacing w:before="40" w:after="60" w:line="247" w:lineRule="auto"/>
            </w:pPr>
            <w:r>
              <w:rPr>
                <w:sz w:val="18"/>
              </w:rPr>
              <w:t>限位开关</w:t>
              <w:br/>
              <w:t>Limit switches</w:t>
            </w:r>
          </w:p>
        </w:tc>
        <w:tc>
          <w:tcPr>
            <w:tcW w:type="dxa" w:w="2750"/>
          </w:tcPr>
          <w:p>
            <w:pPr>
              <w:spacing w:before="40" w:after="60" w:line="247" w:lineRule="auto"/>
            </w:pPr>
            <w:r>
              <w:rPr>
                <w:sz w:val="18"/>
              </w:rPr>
              <w:t>在行程端部触发停止保护，防止轿厢超越允许行程。</w:t>
            </w:r>
          </w:p>
        </w:tc>
        <w:tc>
          <w:tcPr>
            <w:tcW w:type="dxa" w:w="4337"/>
          </w:tcPr>
          <w:p>
            <w:pPr>
              <w:spacing w:before="40" w:after="60" w:line="247" w:lineRule="auto"/>
            </w:pPr>
            <w:r>
              <w:rPr>
                <w:sz w:val="18"/>
              </w:rPr>
              <w:t>Initiate stopping protection at the ends of travel to prevent the Car from exceeding the permitted limits.</w:t>
            </w:r>
          </w:p>
        </w:tc>
      </w:tr>
      <w:tr>
        <w:trPr>
          <w:cantSplit/>
        </w:trPr>
        <w:tc>
          <w:tcPr>
            <w:tcW w:type="dxa" w:w="3288"/>
            <w:shd w:fill="FFF0F0"/>
          </w:tcPr>
          <w:p>
            <w:pPr>
              <w:spacing w:before="40" w:after="60" w:line="247" w:lineRule="auto"/>
            </w:pPr>
            <w:r>
              <w:rPr>
                <w:b/>
                <w:color w:val="B71920"/>
                <w:sz w:val="18"/>
              </w:rPr>
              <w:t>轿厢缓冲器</w:t>
              <w:br/>
              <w:t>Car buffer</w:t>
            </w:r>
          </w:p>
        </w:tc>
        <w:tc>
          <w:tcPr>
            <w:tcW w:type="dxa" w:w="2750"/>
          </w:tcPr>
          <w:p>
            <w:pPr>
              <w:spacing w:before="40" w:after="60" w:line="247" w:lineRule="auto"/>
            </w:pPr>
            <w:r>
              <w:rPr>
                <w:sz w:val="18"/>
              </w:rPr>
              <w:t>安装于底坑，在轿厢底部越程时吸收冲击能量。</w:t>
            </w:r>
          </w:p>
        </w:tc>
        <w:tc>
          <w:tcPr>
            <w:tcW w:type="dxa" w:w="4337"/>
          </w:tcPr>
          <w:p>
            <w:pPr>
              <w:spacing w:before="40" w:after="60" w:line="247" w:lineRule="auto"/>
            </w:pPr>
            <w:r>
              <w:rPr>
                <w:sz w:val="18"/>
              </w:rPr>
              <w:t>Absorbs impact energy in the pit during bottom overtravel of the Car.</w:t>
            </w:r>
          </w:p>
        </w:tc>
      </w:tr>
      <w:tr>
        <w:trPr>
          <w:cantSplit/>
        </w:trPr>
        <w:tc>
          <w:tcPr>
            <w:tcW w:type="dxa" w:w="3288"/>
          </w:tcPr>
          <w:p>
            <w:pPr>
              <w:spacing w:before="40" w:after="60" w:line="247" w:lineRule="auto"/>
            </w:pPr>
            <w:r>
              <w:rPr>
                <w:sz w:val="18"/>
              </w:rPr>
              <w:t>对重缓冲器</w:t>
              <w:br/>
              <w:t>Counterweight buffer</w:t>
            </w:r>
          </w:p>
        </w:tc>
        <w:tc>
          <w:tcPr>
            <w:tcW w:type="dxa" w:w="2750"/>
          </w:tcPr>
          <w:p>
            <w:pPr>
              <w:spacing w:before="40" w:after="60" w:line="247" w:lineRule="auto"/>
            </w:pPr>
            <w:r>
              <w:rPr>
                <w:sz w:val="18"/>
              </w:rPr>
              <w:t>安装于底坑，在对重底部越程时吸收冲击能量。</w:t>
            </w:r>
          </w:p>
        </w:tc>
        <w:tc>
          <w:tcPr>
            <w:tcW w:type="dxa" w:w="4337"/>
          </w:tcPr>
          <w:p>
            <w:pPr>
              <w:spacing w:before="40" w:after="60" w:line="247" w:lineRule="auto"/>
            </w:pPr>
            <w:r>
              <w:rPr>
                <w:sz w:val="18"/>
              </w:rPr>
              <w:t>Absorbs impact energy in the pit during bottom overtravel of the Counterweight.</w:t>
            </w:r>
          </w:p>
        </w:tc>
      </w:tr>
      <w:tr>
        <w:trPr>
          <w:cantSplit/>
        </w:trPr>
        <w:tc>
          <w:tcPr>
            <w:tcW w:type="dxa" w:w="3288"/>
          </w:tcPr>
          <w:p>
            <w:pPr>
              <w:spacing w:before="40" w:after="60" w:line="247" w:lineRule="auto"/>
            </w:pPr>
            <w:r>
              <w:rPr>
                <w:sz w:val="18"/>
              </w:rPr>
              <w:t>限速器张紧轮</w:t>
              <w:br/>
              <w:t>Governor tension sheave</w:t>
            </w:r>
          </w:p>
        </w:tc>
        <w:tc>
          <w:tcPr>
            <w:tcW w:type="dxa" w:w="2750"/>
          </w:tcPr>
          <w:p>
            <w:pPr>
              <w:spacing w:before="40" w:after="60" w:line="247" w:lineRule="auto"/>
            </w:pPr>
            <w:r>
              <w:rPr>
                <w:sz w:val="18"/>
              </w:rPr>
              <w:t>位于限速器绳路下部，保持绳路张紧，以维持限速器与轿厢运动的联系。</w:t>
            </w:r>
          </w:p>
        </w:tc>
        <w:tc>
          <w:tcPr>
            <w:tcW w:type="dxa" w:w="4337"/>
          </w:tcPr>
          <w:p>
            <w:pPr>
              <w:spacing w:before="40" w:after="60" w:line="247" w:lineRule="auto"/>
            </w:pPr>
            <w:r>
              <w:rPr>
                <w:sz w:val="18"/>
              </w:rPr>
              <w:t>Maintains tension in the lower part of the governor rope loop so that the Overspeed governor remains linked to Car movement.</w:t>
            </w:r>
          </w:p>
        </w:tc>
      </w:tr>
    </w:tbl>
    <w:p>
      <w:pPr>
        <w:pStyle w:val="Heading2"/>
      </w:pPr>
      <w:r>
        <w:t>1.2 运作过程 / Operation</w:t>
      </w:r>
    </w:p>
    <w:p>
      <w:r>
        <w:t>乘客按下层站按钮后，控制器登记召梯。层门关闭并锁紧且安全条件满足后，控制器协调制动器释放和驱动电动机运行，带动曳引轮和悬吊绳，使轿厢移动。接近目标楼层时减速和平层，停车后制动器保持静止，再打开轿门和层门。限速器在达到预定超速值时触发安全停止，并在需要时使安全钳作用于轿厢导轨。</w:t>
      </w:r>
    </w:p>
    <w:p>
      <w:r>
        <w:t>The Landing pushbutton registers a call with the Controller. Once the Landing doors are closed and locked and safety conditions are satisfied, the Controller coordinates Brake release and Drive motor operation. The Drive sheave moves the Suspension rope and Car. The Car slows and levels at the destination; the Brake holds it stationary before the doors open. At a predetermined overspeed, the Overspeed governor initiates safety stopping and applies the Safety gear to the Car guide rail when necessary.</w:t>
      </w:r>
    </w:p>
    <w:p>
      <w:r>
        <w:br w:type="page"/>
      </w:r>
    </w:p>
    <w:p>
      <w:pPr>
        <w:spacing w:after="0"/>
        <w:jc w:val="center"/>
      </w:pPr>
      <w:r>
        <w:drawing>
          <wp:inline xmlns:a="http://schemas.openxmlformats.org/drawingml/2006/main" xmlns:pic="http://schemas.openxmlformats.org/drawingml/2006/picture">
            <wp:extent cx="6588000" cy="9312788"/>
            <wp:docPr id="1" name="Picture 1"/>
            <wp:cNvGraphicFramePr>
              <a:graphicFrameLocks noChangeAspect="1"/>
            </wp:cNvGraphicFramePr>
            <a:graphic>
              <a:graphicData uri="http://schemas.openxmlformats.org/drawingml/2006/picture">
                <pic:pic>
                  <pic:nvPicPr>
                    <pic:cNvPr id="0" name="PIA5704_Q1_Traction_PPT_Matched.png"/>
                    <pic:cNvPicPr/>
                  </pic:nvPicPr>
                  <pic:blipFill>
                    <a:blip r:embed="rId11"/>
                    <a:stretch>
                      <a:fillRect/>
                    </a:stretch>
                  </pic:blipFill>
                  <pic:spPr>
                    <a:xfrm>
                      <a:off x="0" y="0"/>
                      <a:ext cx="6588000" cy="9312788"/>
                    </a:xfrm>
                    <a:prstGeom prst="rect"/>
                  </pic:spPr>
                </pic:pic>
              </a:graphicData>
            </a:graphic>
          </wp:inline>
        </w:drawing>
      </w:r>
    </w:p>
    <w:p>
      <w:r>
        <w:br w:type="page"/>
      </w:r>
    </w:p>
    <w:p>
      <w:pPr>
        <w:pStyle w:val="Heading1"/>
      </w:pPr>
      <w:r>
        <w:t>2 直顶式液压升降机 / Direct-driven cylinder hydraulic lift</w:t>
      </w:r>
    </w:p>
    <w:p>
      <w:r>
        <w:t>直顶式液压升降机由电动机驱动油泵，将液压油由油箱经阀组送入埋地油缸。油压推动柱塞伸出，直接顶升轿厢。下降时，阀组让油受控流回油箱，轿厢重量使柱塞回缩。埋地油缸向地下延伸，以容纳所需行程。</w:t>
      </w:r>
    </w:p>
    <w:p>
      <w:r>
        <w:t>A direct-driven cylinder hydraulic lift uses an electrically driven Pump to deliver oil from the Tank through the Valve block into the Cylinder in borehole. Oil pressure extends the Piston and directly raises the Car. During descent, the Valve block permits controlled oil return to the Tank, and the weight of the Car retracts the Piston. The Cylinder in borehole extends below ground to accommodate the required travel.</w:t>
      </w:r>
    </w:p>
    <w:tbl>
      <w:tblPr>
        <w:tblStyle w:val="TableGrid"/>
        <w:tblW w:type="auto" w:w="0"/>
        <w:tblLayout w:type="fixed"/>
        <w:tblLook w:firstColumn="1" w:firstRow="1" w:lastColumn="0" w:lastRow="0" w:noHBand="0" w:noVBand="1" w:val="04A0"/>
      </w:tblPr>
      <w:tblGrid>
        <w:gridCol w:w="3288"/>
        <w:gridCol w:w="2750"/>
        <w:gridCol w:w="4337"/>
      </w:tblGrid>
      <w:tr>
        <w:trPr>
          <w:tblHeader/>
        </w:trPr>
        <w:tc>
          <w:tcPr>
            <w:tcW w:type="dxa" w:w="3288"/>
            <w:shd w:fill="E7EDF2"/>
          </w:tcPr>
          <w:p>
            <w:r>
              <w:t>部件 / Component</w:t>
            </w:r>
          </w:p>
        </w:tc>
        <w:tc>
          <w:tcPr>
            <w:tcW w:type="dxa" w:w="2750"/>
            <w:shd w:fill="E7EDF2"/>
          </w:tcPr>
          <w:p>
            <w:r>
              <w:t>功能</w:t>
            </w:r>
          </w:p>
        </w:tc>
        <w:tc>
          <w:tcPr>
            <w:tcW w:type="dxa" w:w="4337"/>
            <w:shd w:fill="E7EDF2"/>
          </w:tcPr>
          <w:p>
            <w:r>
              <w:t>Operational function</w:t>
            </w:r>
          </w:p>
        </w:tc>
      </w:tr>
      <w:tr>
        <w:trPr>
          <w:cantSplit/>
        </w:trPr>
        <w:tc>
          <w:tcPr>
            <w:tcW w:type="dxa" w:w="3288"/>
          </w:tcPr>
          <w:p>
            <w:pPr>
              <w:spacing w:before="40" w:after="60" w:line="247" w:lineRule="auto"/>
            </w:pPr>
            <w:r>
              <w:rPr>
                <w:sz w:val="18"/>
              </w:rPr>
              <w:t>轿厢导轨</w:t>
              <w:br/>
              <w:t>Car guide rails</w:t>
            </w:r>
          </w:p>
        </w:tc>
        <w:tc>
          <w:tcPr>
            <w:tcW w:type="dxa" w:w="2750"/>
          </w:tcPr>
          <w:p>
            <w:pPr>
              <w:spacing w:before="40" w:after="60" w:line="247" w:lineRule="auto"/>
            </w:pPr>
            <w:r>
              <w:rPr>
                <w:sz w:val="18"/>
              </w:rPr>
              <w:t>引导轿厢垂直运行，并限制横向移动。</w:t>
            </w:r>
          </w:p>
        </w:tc>
        <w:tc>
          <w:tcPr>
            <w:tcW w:type="dxa" w:w="4337"/>
          </w:tcPr>
          <w:p>
            <w:pPr>
              <w:spacing w:before="40" w:after="60" w:line="247" w:lineRule="auto"/>
            </w:pPr>
            <w:r>
              <w:rPr>
                <w:sz w:val="18"/>
              </w:rPr>
              <w:t>Guide the Car vertically and restrain lateral movement.</w:t>
            </w:r>
          </w:p>
        </w:tc>
      </w:tr>
      <w:tr>
        <w:trPr>
          <w:cantSplit/>
        </w:trPr>
        <w:tc>
          <w:tcPr>
            <w:tcW w:type="dxa" w:w="3288"/>
          </w:tcPr>
          <w:p>
            <w:pPr>
              <w:spacing w:before="40" w:after="60" w:line="247" w:lineRule="auto"/>
            </w:pPr>
            <w:r>
              <w:rPr>
                <w:sz w:val="18"/>
              </w:rPr>
              <w:t>轿厢</w:t>
              <w:br/>
              <w:t>Car</w:t>
            </w:r>
          </w:p>
        </w:tc>
        <w:tc>
          <w:tcPr>
            <w:tcW w:type="dxa" w:w="2750"/>
          </w:tcPr>
          <w:p>
            <w:pPr>
              <w:spacing w:before="40" w:after="60" w:line="247" w:lineRule="auto"/>
            </w:pPr>
            <w:r>
              <w:rPr>
                <w:sz w:val="18"/>
              </w:rPr>
              <w:t>承载乘客或货物，并由柱塞直接承托。</w:t>
            </w:r>
          </w:p>
        </w:tc>
        <w:tc>
          <w:tcPr>
            <w:tcW w:type="dxa" w:w="4337"/>
          </w:tcPr>
          <w:p>
            <w:pPr>
              <w:spacing w:before="40" w:after="60" w:line="247" w:lineRule="auto"/>
            </w:pPr>
            <w:r>
              <w:rPr>
                <w:sz w:val="18"/>
              </w:rPr>
              <w:t>Carries passengers or goods and is directly supported by the Piston.</w:t>
            </w:r>
          </w:p>
        </w:tc>
      </w:tr>
      <w:tr>
        <w:trPr>
          <w:cantSplit/>
        </w:trPr>
        <w:tc>
          <w:tcPr>
            <w:tcW w:type="dxa" w:w="3288"/>
          </w:tcPr>
          <w:p>
            <w:pPr>
              <w:spacing w:before="40" w:after="60" w:line="247" w:lineRule="auto"/>
            </w:pPr>
            <w:r>
              <w:rPr>
                <w:sz w:val="18"/>
              </w:rPr>
              <w:t>井道</w:t>
              <w:br/>
              <w:t>Lift well</w:t>
            </w:r>
          </w:p>
        </w:tc>
        <w:tc>
          <w:tcPr>
            <w:tcW w:type="dxa" w:w="2750"/>
          </w:tcPr>
          <w:p>
            <w:pPr>
              <w:spacing w:before="40" w:after="60" w:line="247" w:lineRule="auto"/>
            </w:pPr>
            <w:r>
              <w:rPr>
                <w:sz w:val="18"/>
              </w:rPr>
              <w:t>围护轿厢及相关设备的运行空间。</w:t>
            </w:r>
          </w:p>
        </w:tc>
        <w:tc>
          <w:tcPr>
            <w:tcW w:type="dxa" w:w="4337"/>
          </w:tcPr>
          <w:p>
            <w:pPr>
              <w:spacing w:before="40" w:after="60" w:line="247" w:lineRule="auto"/>
            </w:pPr>
            <w:r>
              <w:rPr>
                <w:sz w:val="18"/>
              </w:rPr>
              <w:t>Encloses the travel space of the Car and associated equipment.</w:t>
            </w:r>
          </w:p>
        </w:tc>
      </w:tr>
      <w:tr>
        <w:trPr>
          <w:cantSplit/>
        </w:trPr>
        <w:tc>
          <w:tcPr>
            <w:tcW w:type="dxa" w:w="3288"/>
          </w:tcPr>
          <w:p>
            <w:pPr>
              <w:spacing w:before="40" w:after="60" w:line="247" w:lineRule="auto"/>
            </w:pPr>
            <w:r>
              <w:rPr>
                <w:sz w:val="18"/>
              </w:rPr>
              <w:t>控制器</w:t>
              <w:br/>
              <w:t>Controller</w:t>
            </w:r>
          </w:p>
        </w:tc>
        <w:tc>
          <w:tcPr>
            <w:tcW w:type="dxa" w:w="2750"/>
          </w:tcPr>
          <w:p>
            <w:pPr>
              <w:spacing w:before="40" w:after="60" w:line="247" w:lineRule="auto"/>
            </w:pPr>
            <w:r>
              <w:rPr>
                <w:sz w:val="18"/>
              </w:rPr>
              <w:t>接收层站按钮指令，协调油泵、阀组、停车、平层和门机。</w:t>
            </w:r>
          </w:p>
        </w:tc>
        <w:tc>
          <w:tcPr>
            <w:tcW w:type="dxa" w:w="4337"/>
          </w:tcPr>
          <w:p>
            <w:pPr>
              <w:spacing w:before="40" w:after="60" w:line="247" w:lineRule="auto"/>
            </w:pPr>
            <w:r>
              <w:rPr>
                <w:sz w:val="18"/>
              </w:rPr>
              <w:t>Receives calls from the Landing pushbutton and coordinates the Pump, Valve block, stopping, levelling and Door operator.</w:t>
            </w:r>
          </w:p>
        </w:tc>
      </w:tr>
      <w:tr>
        <w:trPr>
          <w:cantSplit/>
        </w:trPr>
        <w:tc>
          <w:tcPr>
            <w:tcW w:type="dxa" w:w="3288"/>
          </w:tcPr>
          <w:p>
            <w:pPr>
              <w:spacing w:before="40" w:after="60" w:line="247" w:lineRule="auto"/>
            </w:pPr>
            <w:r>
              <w:rPr>
                <w:sz w:val="18"/>
              </w:rPr>
              <w:t>柱塞</w:t>
              <w:br/>
              <w:t>Piston</w:t>
            </w:r>
          </w:p>
        </w:tc>
        <w:tc>
          <w:tcPr>
            <w:tcW w:type="dxa" w:w="2750"/>
          </w:tcPr>
          <w:p>
            <w:pPr>
              <w:spacing w:before="40" w:after="60" w:line="247" w:lineRule="auto"/>
            </w:pPr>
            <w:r>
              <w:rPr>
                <w:sz w:val="18"/>
              </w:rPr>
              <w:t>在油压作用下伸出，直接顶升轿厢；回缩时轿厢下降。</w:t>
            </w:r>
          </w:p>
        </w:tc>
        <w:tc>
          <w:tcPr>
            <w:tcW w:type="dxa" w:w="4337"/>
          </w:tcPr>
          <w:p>
            <w:pPr>
              <w:spacing w:before="40" w:after="60" w:line="247" w:lineRule="auto"/>
            </w:pPr>
            <w:r>
              <w:rPr>
                <w:sz w:val="18"/>
              </w:rPr>
              <w:t>Extends under oil pressure to raise the Car directly; its retraction allows the Car to descend.</w:t>
            </w:r>
          </w:p>
        </w:tc>
      </w:tr>
      <w:tr>
        <w:trPr>
          <w:cantSplit/>
        </w:trPr>
        <w:tc>
          <w:tcPr>
            <w:tcW w:type="dxa" w:w="3288"/>
          </w:tcPr>
          <w:p>
            <w:pPr>
              <w:spacing w:before="40" w:after="60" w:line="247" w:lineRule="auto"/>
            </w:pPr>
            <w:r>
              <w:rPr>
                <w:sz w:val="18"/>
              </w:rPr>
              <w:t>阀组</w:t>
              <w:br/>
              <w:t>Valve block</w:t>
            </w:r>
          </w:p>
        </w:tc>
        <w:tc>
          <w:tcPr>
            <w:tcW w:type="dxa" w:w="2750"/>
          </w:tcPr>
          <w:p>
            <w:pPr>
              <w:spacing w:before="40" w:after="60" w:line="247" w:lineRule="auto"/>
            </w:pPr>
            <w:r>
              <w:rPr>
                <w:sz w:val="18"/>
              </w:rPr>
              <w:t>控制进油、保压及受控回油，从而实现上升、停止和下降。</w:t>
            </w:r>
          </w:p>
        </w:tc>
        <w:tc>
          <w:tcPr>
            <w:tcW w:type="dxa" w:w="4337"/>
          </w:tcPr>
          <w:p>
            <w:pPr>
              <w:spacing w:before="40" w:after="60" w:line="247" w:lineRule="auto"/>
            </w:pPr>
            <w:r>
              <w:rPr>
                <w:sz w:val="18"/>
              </w:rPr>
              <w:t>Controls oil admission, holding and controlled return for ascent, stopping and descent.</w:t>
            </w:r>
          </w:p>
        </w:tc>
      </w:tr>
      <w:tr>
        <w:trPr>
          <w:cantSplit/>
        </w:trPr>
        <w:tc>
          <w:tcPr>
            <w:tcW w:type="dxa" w:w="3288"/>
          </w:tcPr>
          <w:p>
            <w:pPr>
              <w:spacing w:before="40" w:after="60" w:line="247" w:lineRule="auto"/>
            </w:pPr>
            <w:r>
              <w:rPr>
                <w:sz w:val="18"/>
              </w:rPr>
              <w:t>油泵</w:t>
              <w:br/>
              <w:t>Pump</w:t>
            </w:r>
          </w:p>
        </w:tc>
        <w:tc>
          <w:tcPr>
            <w:tcW w:type="dxa" w:w="2750"/>
          </w:tcPr>
          <w:p>
            <w:pPr>
              <w:spacing w:before="40" w:after="60" w:line="247" w:lineRule="auto"/>
            </w:pPr>
            <w:r>
              <w:rPr>
                <w:sz w:val="18"/>
              </w:rPr>
              <w:t>由电动机驱动，将油箱中的液压油送往埋地油缸，提供顶升所需的油流。</w:t>
            </w:r>
          </w:p>
        </w:tc>
        <w:tc>
          <w:tcPr>
            <w:tcW w:type="dxa" w:w="4337"/>
          </w:tcPr>
          <w:p>
            <w:pPr>
              <w:spacing w:before="40" w:after="60" w:line="247" w:lineRule="auto"/>
            </w:pPr>
            <w:r>
              <w:rPr>
                <w:sz w:val="18"/>
              </w:rPr>
              <w:t>Is driven by an electric motor and delivers oil from the Tank to the Cylinder in borehole to raise the Car.</w:t>
            </w:r>
          </w:p>
        </w:tc>
      </w:tr>
      <w:tr>
        <w:trPr>
          <w:cantSplit/>
        </w:trPr>
        <w:tc>
          <w:tcPr>
            <w:tcW w:type="dxa" w:w="3288"/>
          </w:tcPr>
          <w:p>
            <w:pPr>
              <w:spacing w:before="40" w:after="60" w:line="247" w:lineRule="auto"/>
            </w:pPr>
            <w:r>
              <w:rPr>
                <w:sz w:val="18"/>
              </w:rPr>
              <w:t>油箱</w:t>
              <w:br/>
              <w:t>Tank</w:t>
            </w:r>
          </w:p>
        </w:tc>
        <w:tc>
          <w:tcPr>
            <w:tcW w:type="dxa" w:w="2750"/>
          </w:tcPr>
          <w:p>
            <w:pPr>
              <w:spacing w:before="40" w:after="60" w:line="247" w:lineRule="auto"/>
            </w:pPr>
            <w:r>
              <w:rPr>
                <w:sz w:val="18"/>
              </w:rPr>
              <w:t>储存液压油，向油泵供油，并接收下降时的回油。</w:t>
            </w:r>
          </w:p>
        </w:tc>
        <w:tc>
          <w:tcPr>
            <w:tcW w:type="dxa" w:w="4337"/>
          </w:tcPr>
          <w:p>
            <w:pPr>
              <w:spacing w:before="40" w:after="60" w:line="247" w:lineRule="auto"/>
            </w:pPr>
            <w:r>
              <w:rPr>
                <w:sz w:val="18"/>
              </w:rPr>
              <w:t>Stores oil, supplies the Pump and receives returning oil during descent.</w:t>
            </w:r>
          </w:p>
        </w:tc>
      </w:tr>
    </w:tbl>
    <w:p>
      <w:r>
        <w:br w:type="page"/>
      </w:r>
    </w:p>
    <w:p>
      <w:pPr>
        <w:pStyle w:val="Heading1"/>
      </w:pPr>
      <w:r>
        <w:t>2.1 主要部件及功能（续） / Major components (continued)</w:t>
      </w:r>
    </w:p>
    <w:tbl>
      <w:tblPr>
        <w:tblStyle w:val="TableGrid"/>
        <w:tblW w:type="auto" w:w="0"/>
        <w:tblLayout w:type="fixed"/>
        <w:tblLook w:firstColumn="1" w:firstRow="1" w:lastColumn="0" w:lastRow="0" w:noHBand="0" w:noVBand="1" w:val="04A0"/>
      </w:tblPr>
      <w:tblGrid>
        <w:gridCol w:w="3288"/>
        <w:gridCol w:w="2750"/>
        <w:gridCol w:w="4337"/>
      </w:tblGrid>
      <w:tr>
        <w:trPr>
          <w:tblHeader/>
        </w:trPr>
        <w:tc>
          <w:tcPr>
            <w:tcW w:type="dxa" w:w="3288"/>
            <w:shd w:fill="E7EDF2"/>
          </w:tcPr>
          <w:p>
            <w:r>
              <w:t>部件 / Component</w:t>
            </w:r>
          </w:p>
        </w:tc>
        <w:tc>
          <w:tcPr>
            <w:tcW w:type="dxa" w:w="2750"/>
            <w:shd w:fill="E7EDF2"/>
          </w:tcPr>
          <w:p>
            <w:r>
              <w:t>功能</w:t>
            </w:r>
          </w:p>
        </w:tc>
        <w:tc>
          <w:tcPr>
            <w:tcW w:type="dxa" w:w="4337"/>
            <w:shd w:fill="E7EDF2"/>
          </w:tcPr>
          <w:p>
            <w:r>
              <w:t>Operational function</w:t>
            </w:r>
          </w:p>
        </w:tc>
      </w:tr>
      <w:tr>
        <w:trPr>
          <w:cantSplit/>
        </w:trPr>
        <w:tc>
          <w:tcPr>
            <w:tcW w:type="dxa" w:w="3288"/>
          </w:tcPr>
          <w:p>
            <w:pPr>
              <w:spacing w:before="40" w:after="60" w:line="247" w:lineRule="auto"/>
            </w:pPr>
            <w:r>
              <w:rPr>
                <w:sz w:val="18"/>
              </w:rPr>
              <w:t>门机</w:t>
              <w:br/>
              <w:t>Door operator</w:t>
            </w:r>
          </w:p>
        </w:tc>
        <w:tc>
          <w:tcPr>
            <w:tcW w:type="dxa" w:w="2750"/>
          </w:tcPr>
          <w:p>
            <w:pPr>
              <w:spacing w:before="40" w:after="60" w:line="247" w:lineRule="auto"/>
            </w:pPr>
            <w:r>
              <w:rPr>
                <w:sz w:val="18"/>
              </w:rPr>
              <w:t>驱动轿门开启和关闭。</w:t>
            </w:r>
          </w:p>
        </w:tc>
        <w:tc>
          <w:tcPr>
            <w:tcW w:type="dxa" w:w="4337"/>
          </w:tcPr>
          <w:p>
            <w:pPr>
              <w:spacing w:before="40" w:after="60" w:line="247" w:lineRule="auto"/>
            </w:pPr>
            <w:r>
              <w:rPr>
                <w:sz w:val="18"/>
              </w:rPr>
              <w:t>Opens and closes the Car doors.</w:t>
            </w:r>
          </w:p>
        </w:tc>
      </w:tr>
      <w:tr>
        <w:trPr>
          <w:cantSplit/>
        </w:trPr>
        <w:tc>
          <w:tcPr>
            <w:tcW w:type="dxa" w:w="3288"/>
          </w:tcPr>
          <w:p>
            <w:pPr>
              <w:spacing w:before="40" w:after="60" w:line="247" w:lineRule="auto"/>
            </w:pPr>
            <w:r>
              <w:rPr>
                <w:sz w:val="18"/>
              </w:rPr>
              <w:t>轿门</w:t>
              <w:br/>
              <w:t>Car doors</w:t>
            </w:r>
          </w:p>
        </w:tc>
        <w:tc>
          <w:tcPr>
            <w:tcW w:type="dxa" w:w="2750"/>
          </w:tcPr>
          <w:p>
            <w:pPr>
              <w:spacing w:before="40" w:after="60" w:line="247" w:lineRule="auto"/>
            </w:pPr>
            <w:r>
              <w:rPr>
                <w:sz w:val="18"/>
              </w:rPr>
              <w:t>关闭轿厢入口；正常运行时保持关闭。</w:t>
            </w:r>
          </w:p>
        </w:tc>
        <w:tc>
          <w:tcPr>
            <w:tcW w:type="dxa" w:w="4337"/>
          </w:tcPr>
          <w:p>
            <w:pPr>
              <w:spacing w:before="40" w:after="60" w:line="247" w:lineRule="auto"/>
            </w:pPr>
            <w:r>
              <w:rPr>
                <w:sz w:val="18"/>
              </w:rPr>
              <w:t>Close the Car entrance and remain closed during normal travel.</w:t>
            </w:r>
          </w:p>
        </w:tc>
      </w:tr>
      <w:tr>
        <w:trPr>
          <w:cantSplit/>
        </w:trPr>
        <w:tc>
          <w:tcPr>
            <w:tcW w:type="dxa" w:w="3288"/>
          </w:tcPr>
          <w:p>
            <w:pPr>
              <w:spacing w:before="40" w:after="60" w:line="247" w:lineRule="auto"/>
            </w:pPr>
            <w:r>
              <w:rPr>
                <w:sz w:val="18"/>
              </w:rPr>
              <w:t>随行电缆</w:t>
              <w:br/>
              <w:t>Travelling cables</w:t>
            </w:r>
          </w:p>
        </w:tc>
        <w:tc>
          <w:tcPr>
            <w:tcW w:type="dxa" w:w="2750"/>
          </w:tcPr>
          <w:p>
            <w:pPr>
              <w:spacing w:before="40" w:after="60" w:line="247" w:lineRule="auto"/>
            </w:pPr>
            <w:r>
              <w:rPr>
                <w:sz w:val="18"/>
              </w:rPr>
              <w:t>连接固定设备和移动轿厢，传送电源及控制信号。</w:t>
            </w:r>
          </w:p>
        </w:tc>
        <w:tc>
          <w:tcPr>
            <w:tcW w:type="dxa" w:w="4337"/>
          </w:tcPr>
          <w:p>
            <w:pPr>
              <w:spacing w:before="40" w:after="60" w:line="247" w:lineRule="auto"/>
            </w:pPr>
            <w:r>
              <w:rPr>
                <w:sz w:val="18"/>
              </w:rPr>
              <w:t>Carry power and control signals between fixed equipment and the moving Car.</w:t>
            </w:r>
          </w:p>
        </w:tc>
      </w:tr>
      <w:tr>
        <w:trPr>
          <w:cantSplit/>
        </w:trPr>
        <w:tc>
          <w:tcPr>
            <w:tcW w:type="dxa" w:w="3288"/>
          </w:tcPr>
          <w:p>
            <w:pPr>
              <w:spacing w:before="40" w:after="60" w:line="247" w:lineRule="auto"/>
            </w:pPr>
            <w:r>
              <w:rPr>
                <w:sz w:val="18"/>
              </w:rPr>
              <w:t>层站指示器</w:t>
              <w:br/>
              <w:t>Landing indicator</w:t>
            </w:r>
          </w:p>
        </w:tc>
        <w:tc>
          <w:tcPr>
            <w:tcW w:type="dxa" w:w="2750"/>
          </w:tcPr>
          <w:p>
            <w:pPr>
              <w:spacing w:before="40" w:after="60" w:line="247" w:lineRule="auto"/>
            </w:pPr>
            <w:r>
              <w:rPr>
                <w:sz w:val="18"/>
              </w:rPr>
              <w:t>显示楼层或运行方向等信息。</w:t>
            </w:r>
          </w:p>
        </w:tc>
        <w:tc>
          <w:tcPr>
            <w:tcW w:type="dxa" w:w="4337"/>
          </w:tcPr>
          <w:p>
            <w:pPr>
              <w:spacing w:before="40" w:after="60" w:line="247" w:lineRule="auto"/>
            </w:pPr>
            <w:r>
              <w:rPr>
                <w:sz w:val="18"/>
              </w:rPr>
              <w:t>Displays information such as floor position or direction.</w:t>
            </w:r>
          </w:p>
        </w:tc>
      </w:tr>
      <w:tr>
        <w:trPr>
          <w:cantSplit/>
        </w:trPr>
        <w:tc>
          <w:tcPr>
            <w:tcW w:type="dxa" w:w="3288"/>
          </w:tcPr>
          <w:p>
            <w:pPr>
              <w:spacing w:before="40" w:after="60" w:line="247" w:lineRule="auto"/>
            </w:pPr>
            <w:r>
              <w:rPr>
                <w:sz w:val="18"/>
              </w:rPr>
              <w:t>层站按钮</w:t>
              <w:br/>
              <w:t>Landing pushbutton</w:t>
            </w:r>
          </w:p>
        </w:tc>
        <w:tc>
          <w:tcPr>
            <w:tcW w:type="dxa" w:w="2750"/>
          </w:tcPr>
          <w:p>
            <w:pPr>
              <w:spacing w:before="40" w:after="60" w:line="247" w:lineRule="auto"/>
            </w:pPr>
            <w:r>
              <w:rPr>
                <w:sz w:val="18"/>
              </w:rPr>
              <w:t>向控制器发出召梯指令。</w:t>
            </w:r>
          </w:p>
        </w:tc>
        <w:tc>
          <w:tcPr>
            <w:tcW w:type="dxa" w:w="4337"/>
          </w:tcPr>
          <w:p>
            <w:pPr>
              <w:spacing w:before="40" w:after="60" w:line="247" w:lineRule="auto"/>
            </w:pPr>
            <w:r>
              <w:rPr>
                <w:sz w:val="18"/>
              </w:rPr>
              <w:t>Registers a landing call with the Controller.</w:t>
            </w:r>
          </w:p>
        </w:tc>
      </w:tr>
      <w:tr>
        <w:trPr>
          <w:cantSplit/>
        </w:trPr>
        <w:tc>
          <w:tcPr>
            <w:tcW w:type="dxa" w:w="3288"/>
          </w:tcPr>
          <w:p>
            <w:pPr>
              <w:spacing w:before="40" w:after="60" w:line="247" w:lineRule="auto"/>
            </w:pPr>
            <w:r>
              <w:rPr>
                <w:sz w:val="18"/>
              </w:rPr>
              <w:t>层门</w:t>
              <w:br/>
              <w:t>Landing doors</w:t>
            </w:r>
          </w:p>
        </w:tc>
        <w:tc>
          <w:tcPr>
            <w:tcW w:type="dxa" w:w="2750"/>
          </w:tcPr>
          <w:p>
            <w:pPr>
              <w:spacing w:before="40" w:after="60" w:line="247" w:lineRule="auto"/>
            </w:pPr>
            <w:r>
              <w:rPr>
                <w:sz w:val="18"/>
              </w:rPr>
              <w:t>关闭各楼层的井道入口；其联锁防止门未关闭锁紧时正常运行。</w:t>
            </w:r>
          </w:p>
        </w:tc>
        <w:tc>
          <w:tcPr>
            <w:tcW w:type="dxa" w:w="4337"/>
          </w:tcPr>
          <w:p>
            <w:pPr>
              <w:spacing w:before="40" w:after="60" w:line="247" w:lineRule="auto"/>
            </w:pPr>
            <w:r>
              <w:rPr>
                <w:sz w:val="18"/>
              </w:rPr>
              <w:t>Close the Lift well entrance at each landing; their interlocks prevent normal travel unless they are closed and locked.</w:t>
            </w:r>
          </w:p>
        </w:tc>
      </w:tr>
      <w:tr>
        <w:trPr>
          <w:cantSplit/>
        </w:trPr>
        <w:tc>
          <w:tcPr>
            <w:tcW w:type="dxa" w:w="3288"/>
          </w:tcPr>
          <w:p>
            <w:pPr>
              <w:spacing w:before="40" w:after="60" w:line="247" w:lineRule="auto"/>
            </w:pPr>
            <w:r>
              <w:rPr>
                <w:sz w:val="18"/>
              </w:rPr>
              <w:t>密封套</w:t>
              <w:br/>
              <w:t>Collar</w:t>
            </w:r>
          </w:p>
        </w:tc>
        <w:tc>
          <w:tcPr>
            <w:tcW w:type="dxa" w:w="2750"/>
          </w:tcPr>
          <w:p>
            <w:pPr>
              <w:spacing w:before="40" w:after="60" w:line="247" w:lineRule="auto"/>
            </w:pPr>
            <w:r>
              <w:rPr>
                <w:sz w:val="18"/>
              </w:rPr>
              <w:t>在埋地油缸入口处引导柱塞，并配合密封组件限制油液泄漏。</w:t>
            </w:r>
          </w:p>
        </w:tc>
        <w:tc>
          <w:tcPr>
            <w:tcW w:type="dxa" w:w="4337"/>
          </w:tcPr>
          <w:p>
            <w:pPr>
              <w:spacing w:before="40" w:after="60" w:line="247" w:lineRule="auto"/>
            </w:pPr>
            <w:r>
              <w:rPr>
                <w:sz w:val="18"/>
              </w:rPr>
              <w:t>Guides the Piston at the cylinder entrance and works with the sealing arrangement to limit oil leakage.</w:t>
            </w:r>
          </w:p>
        </w:tc>
      </w:tr>
      <w:tr>
        <w:trPr>
          <w:cantSplit/>
        </w:trPr>
        <w:tc>
          <w:tcPr>
            <w:tcW w:type="dxa" w:w="3288"/>
          </w:tcPr>
          <w:p>
            <w:pPr>
              <w:spacing w:before="40" w:after="60" w:line="247" w:lineRule="auto"/>
            </w:pPr>
            <w:r>
              <w:rPr>
                <w:sz w:val="18"/>
              </w:rPr>
              <w:t>埋地油缸</w:t>
              <w:br/>
              <w:t>Cylinder in borehole</w:t>
            </w:r>
          </w:p>
        </w:tc>
        <w:tc>
          <w:tcPr>
            <w:tcW w:type="dxa" w:w="2750"/>
          </w:tcPr>
          <w:p>
            <w:pPr>
              <w:spacing w:before="40" w:after="60" w:line="247" w:lineRule="auto"/>
            </w:pPr>
            <w:r>
              <w:rPr>
                <w:sz w:val="18"/>
              </w:rPr>
              <w:t>容纳受压液压油，与柱塞形成直接顶升机构；埋地部分容纳所需行程。</w:t>
            </w:r>
          </w:p>
        </w:tc>
        <w:tc>
          <w:tcPr>
            <w:tcW w:type="dxa" w:w="4337"/>
          </w:tcPr>
          <w:p>
            <w:pPr>
              <w:spacing w:before="40" w:after="60" w:line="247" w:lineRule="auto"/>
            </w:pPr>
            <w:r>
              <w:rPr>
                <w:sz w:val="18"/>
              </w:rPr>
              <w:t>Contains pressurised oil and forms the direct lifting actuator with the Piston; its buried length accommodates the required travel.</w:t>
            </w:r>
          </w:p>
        </w:tc>
      </w:tr>
    </w:tbl>
    <w:p>
      <w:pPr>
        <w:pStyle w:val="Heading2"/>
      </w:pPr>
      <w:r>
        <w:t>2.2 运作过程 / Operation</w:t>
      </w:r>
    </w:p>
    <w:p>
      <w:r>
        <w:t>上升：控制器启动油泵，油经阀组进入埋地油缸，使柱塞伸出并直接顶升轿厢。停止：油泵停止供油，阀组保持油缸内的油液，使轿厢停留在所需位置。下降：阀组控制回油速度，使柱塞和轿厢受控下降。平层后停止回油，轿厢保持静止，再开门。</w:t>
      </w:r>
    </w:p>
    <w:p>
      <w:r>
        <w:t>Ascent: the Controller operates the Pump, and oil passes through the Valve block into the Cylinder in borehole, extending the Piston and raising the Car directly. Holding: the Pump stops delivering oil, and the Valve block retains oil to hold the Car at the required position. Descent: the Valve block controls the return flow so that the Piston and Car descend in a controlled manner. After levelling, return flow stops and the Car remains stationary before the doors open.</w:t>
      </w:r>
    </w:p>
    <w:p>
      <w:r>
        <w:br w:type="page"/>
      </w:r>
    </w:p>
    <w:p>
      <w:pPr>
        <w:spacing w:after="0"/>
        <w:jc w:val="center"/>
      </w:pPr>
      <w:r>
        <w:drawing>
          <wp:inline xmlns:a="http://schemas.openxmlformats.org/drawingml/2006/main" xmlns:pic="http://schemas.openxmlformats.org/drawingml/2006/picture">
            <wp:extent cx="6588000" cy="9312788"/>
            <wp:docPr id="2" name="Picture 2"/>
            <wp:cNvGraphicFramePr>
              <a:graphicFrameLocks noChangeAspect="1"/>
            </wp:cNvGraphicFramePr>
            <a:graphic>
              <a:graphicData uri="http://schemas.openxmlformats.org/drawingml/2006/picture">
                <pic:pic>
                  <pic:nvPicPr>
                    <pic:cNvPr id="0" name="PIA5704_Q1_Hydraulic_PPT_Matched.png"/>
                    <pic:cNvPicPr/>
                  </pic:nvPicPr>
                  <pic:blipFill>
                    <a:blip r:embed="rId12"/>
                    <a:stretch>
                      <a:fillRect/>
                    </a:stretch>
                  </pic:blipFill>
                  <pic:spPr>
                    <a:xfrm>
                      <a:off x="0" y="0"/>
                      <a:ext cx="6588000" cy="9312788"/>
                    </a:xfrm>
                    <a:prstGeom prst="rect"/>
                  </pic:spPr>
                </pic:pic>
              </a:graphicData>
            </a:graphic>
          </wp:inline>
        </w:drawing>
      </w:r>
    </w:p>
    <w:sectPr w:rsidR="00FC693F" w:rsidRPr="0006063C" w:rsidSect="00034616">
      <w:headerReference w:type="default" r:id="rId9"/>
      <w:footerReference w:type="default" r:id="rId10"/>
      <w:pgSz w:w="11906" w:h="16838"/>
      <w:pgMar w:top="680" w:right="765" w:bottom="680" w:left="76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eastAsia="Noto Sans CJK SC"/>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Q1 — Complete answers with PPT-matched simplified schematics</dc:title>
  <dc:subject/>
  <dc:creator/>
  <cp:keywords/>
  <dc:description/>
  <cp:lastModifiedBy/>
  <cp:revision>1</cp:revision>
  <dcterms:created xsi:type="dcterms:W3CDTF">2013-12-23T23:15:00Z</dcterms:created>
  <dcterms:modified xsi:type="dcterms:W3CDTF">2013-12-23T23:15:00Z</dcterms:modified>
  <cp:category/>
</cp:coreProperties>
</file>