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第01页｜课程名称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Comparative and International Housing and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比较与国际住房及城市政策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June Wang; Department of Public and International Affairs, City University of Hong Kong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任课教师：June Wang；香港城市大学公共及国际事务学系</w:t>
            </w:r>
          </w:p>
        </w:tc>
      </w:tr>
    </w:tbl>
    <w:p>
      <w:pPr>
        <w:spacing w:after="120"/>
      </w:pPr>
      <w:r>
        <w:rPr>
          <w:color w:val="000000"/>
          <w:sz w:val="22"/>
          <w:szCs w:val="22"/>
          <w:rFonts w:ascii="Calibri" w:hAnsi="Calibri" w:eastAsia="Noto Sans CJK SC"/>
          <w:b w:val="1"/>
        </w:rPr>
        <w:t>课程主线（原资料）</w:t>
      </w:r>
    </w:p>
    <w:p w14:paraId="2AF17004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先记住整门课的主线</w:t>
      </w:r>
    </w:p>
    <w:p w14:paraId="7800645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Welfare regime → policy design → housing and urban outcomes</w:t>
      </w:r>
    </w:p>
    <w:p w14:paraId="4F08A72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福利体制 → 政策设计 → 住房与城市结果</w:t>
      </w:r>
    </w:p>
    <w:p w14:paraId="71F04A9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本课程要求理解：不同社会如何安排国家、市场、家庭与社会的责任，这些安排为什么会产生不同的住房与城市政策。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62ACE59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70161F19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分析问题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275DC94A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中文与复习要点</w:t>
            </w:r>
          </w:p>
        </w:tc>
      </w:tr>
      <w:tr w14:paraId="2A0DEBAE">
        <w:trPr>
          <w:cantSplit/>
          <w:jc w:val="center"/>
        </w:trPr>
        <w:tc>
          <w:tcPr>
            <w:tcW w:w="4819" w:type="dxa"/>
            <w:vAlign w:val="center"/>
          </w:tcPr>
          <w:p w14:paraId="36559E2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Who provides it?</w:t>
            </w:r>
          </w:p>
        </w:tc>
        <w:tc>
          <w:tcPr>
            <w:tcW w:w="4819" w:type="dxa"/>
            <w:vAlign w:val="center"/>
          </w:tcPr>
          <w:p w14:paraId="2EC842A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谁提供？政府、私人企业，还是非营利机构？</w:t>
            </w:r>
          </w:p>
        </w:tc>
      </w:tr>
      <w:tr w14:paraId="33CD959E">
        <w:trPr>
          <w:cantSplit/>
          <w:jc w:val="center"/>
        </w:trPr>
        <w:tc>
          <w:tcPr>
            <w:tcW w:w="4819" w:type="dxa"/>
            <w:vAlign w:val="center"/>
          </w:tcPr>
          <w:p w14:paraId="77E2AEE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Who is eligible?</w:t>
            </w:r>
          </w:p>
        </w:tc>
        <w:tc>
          <w:tcPr>
            <w:tcW w:w="4819" w:type="dxa"/>
            <w:vAlign w:val="center"/>
          </w:tcPr>
          <w:p w14:paraId="4E4323F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谁有资格？广泛居民，还是特定收入、职业或家庭群体？</w:t>
            </w:r>
          </w:p>
        </w:tc>
      </w:tr>
      <w:tr w14:paraId="0FAA07A5">
        <w:trPr>
          <w:cantSplit/>
          <w:jc w:val="center"/>
        </w:trPr>
        <w:tc>
          <w:tcPr>
            <w:tcW w:w="4819" w:type="dxa"/>
            <w:vAlign w:val="center"/>
          </w:tcPr>
          <w:p w14:paraId="1473955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How is it financed?</w:t>
            </w:r>
          </w:p>
        </w:tc>
        <w:tc>
          <w:tcPr>
            <w:tcW w:w="4819" w:type="dxa"/>
            <w:vAlign w:val="center"/>
          </w:tcPr>
          <w:p w14:paraId="235B444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如何筹资？税收、社会保险、私人资本，还是家庭积蓄？</w:t>
            </w:r>
          </w:p>
        </w:tc>
      </w:tr>
      <w:tr w14:paraId="7DB53AC0">
        <w:trPr>
          <w:cantSplit/>
          <w:jc w:val="center"/>
        </w:trPr>
        <w:tc>
          <w:tcPr>
            <w:tcW w:w="4819" w:type="dxa"/>
            <w:vAlign w:val="center"/>
          </w:tcPr>
          <w:p w14:paraId="4720F55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What is its purpose?</w:t>
            </w:r>
          </w:p>
        </w:tc>
        <w:tc>
          <w:tcPr>
            <w:tcW w:w="4819" w:type="dxa"/>
            <w:vAlign w:val="center"/>
          </w:tcPr>
          <w:p w14:paraId="6314ECE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政策目的是什么？社会权利、市场支持、家庭责任，还是经济发展？</w:t>
            </w:r>
          </w:p>
        </w:tc>
      </w:tr>
      <w:tr w14:paraId="61DD1010">
        <w:trPr>
          <w:cantSplit/>
          <w:jc w:val="center"/>
        </w:trPr>
        <w:tc>
          <w:tcPr>
            <w:tcW w:w="4819" w:type="dxa"/>
            <w:vAlign w:val="center"/>
          </w:tcPr>
          <w:p w14:paraId="14A17AB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What are its consequences?</w:t>
            </w:r>
          </w:p>
        </w:tc>
        <w:tc>
          <w:tcPr>
            <w:tcW w:w="4819" w:type="dxa"/>
            <w:vAlign w:val="center"/>
          </w:tcPr>
          <w:p w14:paraId="588F9E7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结果是什么？改善可负担性，还是产生排斥、分层与金融风险？</w:t>
            </w:r>
          </w:p>
        </w:tc>
      </w:tr>
    </w:tbl>
    <w:p w14:paraId="1D9E6081">
      <w:pPr>
        <w:spacing w:before="0" w:after="70" w:line="276" w:lineRule="auto"/>
        <w:keepLines/>
      </w:pPr>
    </w:p>
    <w:p w14:paraId="7EB34A7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英文主旨句：</w:t>
      </w:r>
      <w:r>
        <w:rPr>
          <w:color w:val="000000"/>
          <w:sz w:val="21"/>
          <w:szCs w:val="21"/>
          <w:rFonts w:ascii="Calibri" w:hAnsi="Calibri" w:eastAsia="Noto Sans CJK SC"/>
        </w:rPr>
        <w:t>Housing policy reflects how responsibilities are distributed among the state, the market and the family.</w:t>
      </w:r>
    </w:p>
    <w:p w14:paraId="20DFD4C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中文：</w:t>
      </w:r>
      <w:r>
        <w:rPr>
          <w:color w:val="000000"/>
          <w:sz w:val="21"/>
          <w:szCs w:val="21"/>
          <w:rFonts w:ascii="Calibri" w:hAnsi="Calibri" w:eastAsia="Noto Sans CJK SC"/>
        </w:rPr>
        <w:t>住房政策反映了国家、市场和家庭之间如何分配责任。</w:t>
      </w:r>
    </w:p>
    <w:p w14:paraId="5DA093D8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第1页｜课程名称与研究范围</w:t>
      </w:r>
    </w:p>
    <w:p w14:paraId="7ACEB5A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Comparative and International Housing and Urban Policy：比较与国际住房及城市政策。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CA37F8B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41F4CA98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英文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0818296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49C933EB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学习含义</w:t>
            </w:r>
          </w:p>
        </w:tc>
      </w:tr>
      <w:tr w14:paraId="029DBCBB">
        <w:trPr>
          <w:cantSplit/>
          <w:jc w:val="center"/>
        </w:trPr>
        <w:tc>
          <w:tcPr>
            <w:tcW w:w="3213" w:type="dxa"/>
            <w:vAlign w:val="center"/>
          </w:tcPr>
          <w:p w14:paraId="5AC265D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Comparative</w:t>
            </w:r>
          </w:p>
        </w:tc>
        <w:tc>
          <w:tcPr>
            <w:tcW w:w="3213" w:type="dxa"/>
            <w:vAlign w:val="center"/>
          </w:tcPr>
          <w:p w14:paraId="62BED3F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比较的</w:t>
            </w:r>
          </w:p>
        </w:tc>
        <w:tc>
          <w:tcPr>
            <w:tcW w:w="3213" w:type="dxa"/>
            <w:vAlign w:val="center"/>
          </w:tcPr>
          <w:p w14:paraId="2CAC64D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使用共同维度分析不同案例</w:t>
            </w:r>
          </w:p>
        </w:tc>
      </w:tr>
      <w:tr w14:paraId="1AF636DA">
        <w:trPr>
          <w:cantSplit/>
          <w:jc w:val="center"/>
        </w:trPr>
        <w:tc>
          <w:tcPr>
            <w:tcW w:w="3213" w:type="dxa"/>
            <w:vAlign w:val="center"/>
          </w:tcPr>
          <w:p w14:paraId="00BAA19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International</w:t>
            </w:r>
          </w:p>
        </w:tc>
        <w:tc>
          <w:tcPr>
            <w:tcW w:w="3213" w:type="dxa"/>
            <w:vAlign w:val="center"/>
          </w:tcPr>
          <w:p w14:paraId="374C8E5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国际的</w:t>
            </w:r>
          </w:p>
        </w:tc>
        <w:tc>
          <w:tcPr>
            <w:tcW w:w="3213" w:type="dxa"/>
            <w:vAlign w:val="center"/>
          </w:tcPr>
          <w:p w14:paraId="7541059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关注不同国家和地区的制度背景</w:t>
            </w:r>
          </w:p>
        </w:tc>
      </w:tr>
      <w:tr w14:paraId="13BFBCA4">
        <w:trPr>
          <w:cantSplit/>
          <w:jc w:val="center"/>
        </w:trPr>
        <w:tc>
          <w:tcPr>
            <w:tcW w:w="3213" w:type="dxa"/>
            <w:vAlign w:val="center"/>
          </w:tcPr>
          <w:p w14:paraId="2A2C554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Housing policy</w:t>
            </w:r>
          </w:p>
        </w:tc>
        <w:tc>
          <w:tcPr>
            <w:tcW w:w="3213" w:type="dxa"/>
            <w:vAlign w:val="center"/>
          </w:tcPr>
          <w:p w14:paraId="54D689B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住房政策</w:t>
            </w:r>
          </w:p>
        </w:tc>
        <w:tc>
          <w:tcPr>
            <w:tcW w:w="3213" w:type="dxa"/>
            <w:vAlign w:val="center"/>
          </w:tcPr>
          <w:p w14:paraId="2EFB09A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涉及供给、租赁、所有权、补贴与监管</w:t>
            </w:r>
          </w:p>
        </w:tc>
      </w:tr>
      <w:tr w14:paraId="729E53B0">
        <w:trPr>
          <w:cantSplit/>
          <w:jc w:val="center"/>
        </w:trPr>
        <w:tc>
          <w:tcPr>
            <w:tcW w:w="3213" w:type="dxa"/>
            <w:vAlign w:val="center"/>
          </w:tcPr>
          <w:p w14:paraId="15911C5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Urban policy</w:t>
            </w:r>
          </w:p>
        </w:tc>
        <w:tc>
          <w:tcPr>
            <w:tcW w:w="3213" w:type="dxa"/>
            <w:vAlign w:val="center"/>
          </w:tcPr>
          <w:p w14:paraId="0FD6E8D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城市政策</w:t>
            </w:r>
          </w:p>
        </w:tc>
        <w:tc>
          <w:tcPr>
            <w:tcW w:w="3213" w:type="dxa"/>
            <w:vAlign w:val="center"/>
          </w:tcPr>
          <w:p w14:paraId="05438E5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涉及公共性、经济发展、文化与治理</w:t>
            </w:r>
          </w:p>
        </w:tc>
      </w:tr>
    </w:tbl>
    <w:p w14:paraId="1809F92E">
      <w:pPr>
        <w:spacing w:before="0" w:after="70" w:line="276" w:lineRule="auto"/>
        <w:keepLines/>
      </w:pPr>
    </w:p>
    <w:p w14:paraId="1E8E4A54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比较分析不能停留在“甲国有什么、乙国有什么”。</w:t>
      </w:r>
      <w:r>
        <w:rPr>
          <w:color w:val="000000"/>
          <w:sz w:val="21"/>
          <w:szCs w:val="21"/>
          <w:rFonts w:ascii="Calibri" w:hAnsi="Calibri" w:eastAsia="Noto Sans CJK SC"/>
        </w:rPr>
        <w:t>需要进一步解释政策差异背后的制度逻辑。</w:t>
      </w:r>
    </w:p>
    <w:p w14:paraId="4F7C54C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英文：Comparative analysis explains why policies differ across institutional contexts.</w:t>
      </w:r>
    </w:p>
    <w:p w14:paraId="14914AB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中文：比较分析解释不同制度背景下的政策为什么不同。</w:t>
      </w:r>
    </w:p>
    <w:p>
      <w:pPr>
        <w:sectPr>
          <w:headerReference w:type="default" r:id="rId9"/>
          <w:footerReference w:type="default" r:id="rId1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第02页｜Objectives｜课程目标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Describe and analyse housing and urban systems based on four welfare institutions.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描述并分析四种福利制度下的住房与城市体系。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Analyse key issues: smart cities, community and citizenship, public and private housing, slums and informal settlements.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分析关键议题：智慧城市、社区与公民身份、公共与私人住房、贫民窟及非正规住区。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Compare specific cases in local and international contexts.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比较地方及国际背景中的具体案例。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Apply conceptual and theoretical frameworks to housing and urban policy.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运用概念与理论框架分析住房与城市政策。</w:t>
            </w:r>
          </w:p>
        </w:tc>
      </w:tr>
    </w:tbl>
    <w:p w14:paraId="1A66015E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第2页｜课程目标 Objectives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9FD4035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21D99A4D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原文关键词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41C804DF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75E5440D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复习时要做到</w:t>
            </w:r>
          </w:p>
        </w:tc>
      </w:tr>
      <w:tr w14:paraId="5FCB0426">
        <w:trPr>
          <w:cantSplit/>
          <w:jc w:val="center"/>
        </w:trPr>
        <w:tc>
          <w:tcPr>
            <w:tcW w:w="3213" w:type="dxa"/>
            <w:vAlign w:val="center"/>
          </w:tcPr>
          <w:p w14:paraId="6555BD4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Describe and analyse</w:t>
            </w:r>
          </w:p>
        </w:tc>
        <w:tc>
          <w:tcPr>
            <w:tcW w:w="3213" w:type="dxa"/>
            <w:vAlign w:val="center"/>
          </w:tcPr>
          <w:p w14:paraId="7D0B5C6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描述并分析</w:t>
            </w:r>
          </w:p>
        </w:tc>
        <w:tc>
          <w:tcPr>
            <w:tcW w:w="3213" w:type="dxa"/>
            <w:vAlign w:val="center"/>
          </w:tcPr>
          <w:p w14:paraId="1A92C73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准确定义制度，再解释其运行逻辑</w:t>
            </w:r>
          </w:p>
        </w:tc>
      </w:tr>
      <w:tr w14:paraId="4357EBB9">
        <w:trPr>
          <w:cantSplit/>
          <w:jc w:val="center"/>
        </w:trPr>
        <w:tc>
          <w:tcPr>
            <w:tcW w:w="3213" w:type="dxa"/>
            <w:vAlign w:val="center"/>
          </w:tcPr>
          <w:p w14:paraId="7CA7355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Analyse key issues</w:t>
            </w:r>
          </w:p>
        </w:tc>
        <w:tc>
          <w:tcPr>
            <w:tcW w:w="3213" w:type="dxa"/>
            <w:vAlign w:val="center"/>
          </w:tcPr>
          <w:p w14:paraId="79DC28F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分析关键议题</w:t>
            </w:r>
          </w:p>
        </w:tc>
        <w:tc>
          <w:tcPr>
            <w:tcW w:w="3213" w:type="dxa"/>
            <w:vAlign w:val="center"/>
          </w:tcPr>
          <w:p w14:paraId="50E07AD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讨论住房、智慧城市等问题</w:t>
            </w:r>
          </w:p>
        </w:tc>
      </w:tr>
      <w:tr w14:paraId="55A25CAD">
        <w:trPr>
          <w:cantSplit/>
          <w:jc w:val="center"/>
        </w:trPr>
        <w:tc>
          <w:tcPr>
            <w:tcW w:w="3213" w:type="dxa"/>
            <w:vAlign w:val="center"/>
          </w:tcPr>
          <w:p w14:paraId="21C559A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Compare specific cases</w:t>
            </w:r>
          </w:p>
        </w:tc>
        <w:tc>
          <w:tcPr>
            <w:tcW w:w="3213" w:type="dxa"/>
            <w:vAlign w:val="center"/>
          </w:tcPr>
          <w:p w14:paraId="24E827A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比较具体案例</w:t>
            </w:r>
          </w:p>
        </w:tc>
        <w:tc>
          <w:tcPr>
            <w:tcW w:w="3213" w:type="dxa"/>
            <w:vAlign w:val="center"/>
          </w:tcPr>
          <w:p w14:paraId="2B7DEE5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用相同指标比较国家或城市</w:t>
            </w:r>
          </w:p>
        </w:tc>
      </w:tr>
      <w:tr w14:paraId="7D728609">
        <w:trPr>
          <w:cantSplit/>
          <w:jc w:val="center"/>
        </w:trPr>
        <w:tc>
          <w:tcPr>
            <w:tcW w:w="3213" w:type="dxa"/>
            <w:vAlign w:val="center"/>
          </w:tcPr>
          <w:p w14:paraId="6346BDA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Apply conceptual and theoretical frameworks</w:t>
            </w:r>
          </w:p>
        </w:tc>
        <w:tc>
          <w:tcPr>
            <w:tcW w:w="3213" w:type="dxa"/>
            <w:vAlign w:val="center"/>
          </w:tcPr>
          <w:p w14:paraId="056D79D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应用概念与理论框架</w:t>
            </w:r>
          </w:p>
        </w:tc>
        <w:tc>
          <w:tcPr>
            <w:tcW w:w="3213" w:type="dxa"/>
            <w:vAlign w:val="center"/>
          </w:tcPr>
          <w:p w14:paraId="1E8257A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用理论解释政策和结果</w:t>
            </w:r>
          </w:p>
        </w:tc>
      </w:tr>
    </w:tbl>
    <w:p w14:paraId="496CE630">
      <w:pPr>
        <w:spacing w:before="0" w:after="70" w:line="276" w:lineRule="auto"/>
        <w:keepLines/>
      </w:pPr>
    </w:p>
    <w:p w14:paraId="095B691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 xml:space="preserve">Apply theory to cases. </w:t>
      </w: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把理论用于解释案例。</w:t>
      </w:r>
    </w:p>
    <w:p w14:paraId="759938B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例如，“美国有住房券”只是描述；分析住房券为什么通过私人租赁市场提供支持、资格如何确定，才是在运用理论。</w:t>
      </w:r>
    </w:p>
    <w:p w14:paraId="311433F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 course examines the institutional logic behind housing and urban policies.</w:t>
      </w:r>
    </w:p>
    <w:p w14:paraId="468D95F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中文：本课程研究住房与城市政策背后的制度逻辑。</w:t>
      </w:r>
    </w:p>
    <w:p w14:paraId="761CCFA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注意：本页提到社区、公民身份、贫民窟和非正规住区等议题，但没有逐项展开，不能据此认定它们都已成为第一课详细教授的知识点。</w:t>
      </w:r>
    </w:p>
    <w:p>
      <w:pPr>
        <w:sectPr>
          <w:headerReference w:type="default" r:id="rId4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第03页｜Worlds of welfare capitalism｜福利资本主义的不同类型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Social-democratic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 welfare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保守主义福利国家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发展型国家</w:t>
            </w:r>
          </w:p>
        </w:tc>
      </w:tr>
    </w:tbl>
    <w:p w14:paraId="3B2D19A4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第3页｜福利资本主义的四种比较类型</w:t>
      </w:r>
    </w:p>
    <w:p w14:paraId="29A7B1E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Worlds of Welfare Capitalism：福利资本主义的不同制度类型。</w:t>
      </w:r>
    </w:p>
    <w:p w14:paraId="38847A14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Liberal / Social-democratic / Conservative / Developmental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3FE2AC4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37AB5335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类型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3B5C3C8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5BE2BF93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核心关键词</w:t>
            </w:r>
          </w:p>
        </w:tc>
      </w:tr>
      <w:tr w14:paraId="67CEB183">
        <w:trPr>
          <w:cantSplit/>
          <w:jc w:val="center"/>
        </w:trPr>
        <w:tc>
          <w:tcPr>
            <w:tcW w:w="3213" w:type="dxa"/>
            <w:vAlign w:val="center"/>
          </w:tcPr>
          <w:p w14:paraId="18BD85E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Liberal welfare state</w:t>
            </w:r>
          </w:p>
        </w:tc>
        <w:tc>
          <w:tcPr>
            <w:tcW w:w="3213" w:type="dxa"/>
            <w:vAlign w:val="center"/>
          </w:tcPr>
          <w:p w14:paraId="503CD90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自由主义福利国家</w:t>
            </w:r>
          </w:p>
        </w:tc>
        <w:tc>
          <w:tcPr>
            <w:tcW w:w="3213" w:type="dxa"/>
            <w:vAlign w:val="center"/>
          </w:tcPr>
          <w:p w14:paraId="6CCCAC1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Market, self-reliance：市场、自力更生</w:t>
            </w:r>
          </w:p>
        </w:tc>
      </w:tr>
      <w:tr w14:paraId="68C66AA1">
        <w:trPr>
          <w:cantSplit/>
          <w:jc w:val="center"/>
        </w:trPr>
        <w:tc>
          <w:tcPr>
            <w:tcW w:w="3213" w:type="dxa"/>
            <w:vAlign w:val="center"/>
          </w:tcPr>
          <w:p w14:paraId="48D2A3E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Social-democratic welfare state</w:t>
            </w:r>
          </w:p>
        </w:tc>
        <w:tc>
          <w:tcPr>
            <w:tcW w:w="3213" w:type="dxa"/>
            <w:vAlign w:val="center"/>
          </w:tcPr>
          <w:p w14:paraId="31843EF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社会民主主义福利国家</w:t>
            </w:r>
          </w:p>
        </w:tc>
        <w:tc>
          <w:tcPr>
            <w:tcW w:w="3213" w:type="dxa"/>
            <w:vAlign w:val="center"/>
          </w:tcPr>
          <w:p w14:paraId="25613C4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Universal rights, equality：普遍权利、平等</w:t>
            </w:r>
          </w:p>
        </w:tc>
      </w:tr>
      <w:tr w14:paraId="72F2BF21">
        <w:trPr>
          <w:cantSplit/>
          <w:jc w:val="center"/>
        </w:trPr>
        <w:tc>
          <w:tcPr>
            <w:tcW w:w="3213" w:type="dxa"/>
            <w:vAlign w:val="center"/>
          </w:tcPr>
          <w:p w14:paraId="0463620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Conservative welfare state</w:t>
            </w:r>
          </w:p>
        </w:tc>
        <w:tc>
          <w:tcPr>
            <w:tcW w:w="3213" w:type="dxa"/>
            <w:vAlign w:val="center"/>
          </w:tcPr>
          <w:p w14:paraId="7C437C5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保守主义福利国家</w:t>
            </w:r>
          </w:p>
        </w:tc>
        <w:tc>
          <w:tcPr>
            <w:tcW w:w="3213" w:type="dxa"/>
            <w:vAlign w:val="center"/>
          </w:tcPr>
          <w:p w14:paraId="3819EDB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Social insurance, family, status：社会保险、家庭、身份地位</w:t>
            </w:r>
          </w:p>
        </w:tc>
      </w:tr>
      <w:tr w14:paraId="40C43E6D">
        <w:trPr>
          <w:cantSplit/>
          <w:jc w:val="center"/>
        </w:trPr>
        <w:tc>
          <w:tcPr>
            <w:tcW w:w="3213" w:type="dxa"/>
            <w:vAlign w:val="center"/>
          </w:tcPr>
          <w:p w14:paraId="08A1F23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Developmental state</w:t>
            </w:r>
          </w:p>
        </w:tc>
        <w:tc>
          <w:tcPr>
            <w:tcW w:w="3213" w:type="dxa"/>
            <w:vAlign w:val="center"/>
          </w:tcPr>
          <w:p w14:paraId="59E71E3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发展型国家</w:t>
            </w:r>
          </w:p>
        </w:tc>
        <w:tc>
          <w:tcPr>
            <w:tcW w:w="3213" w:type="dxa"/>
            <w:vAlign w:val="center"/>
          </w:tcPr>
          <w:p w14:paraId="70EEB11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State-led development：国家主导发展</w:t>
            </w:r>
          </w:p>
        </w:tc>
      </w:tr>
    </w:tbl>
    <w:p w14:paraId="57920CE1">
      <w:pPr>
        <w:spacing w:before="0" w:after="70" w:line="276" w:lineRule="auto"/>
        <w:keepLines/>
      </w:pPr>
    </w:p>
    <w:p w14:paraId="0FE254F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易错点：Esping-Andersen的经典框架是“三个世界”。</w:t>
      </w:r>
      <w:r>
        <w:rPr>
          <w:color w:val="000000"/>
          <w:sz w:val="21"/>
          <w:szCs w:val="21"/>
          <w:rFonts w:ascii="Calibri" w:hAnsi="Calibri" w:eastAsia="Noto Sans CJK SC"/>
        </w:rPr>
        <w:t>本课程另加入发展型国家，不能写成他原本提出四种类型。</w:t>
      </w:r>
    </w:p>
    <w:p w14:paraId="414CE88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 course extends the comparison beyond Esping-Andersen’s three welfare regimes by including the developmental state.</w:t>
      </w:r>
    </w:p>
    <w:p w14:paraId="32C5AB34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中文：本课程在Esping-Andersen的三种福利体制之外，加入发展型国家进行比较。</w:t>
      </w:r>
    </w:p>
    <w:p w14:paraId="7DEA6FE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这些类型是</w:t>
      </w:r>
      <w:r>
        <w:rPr>
          <w:b/>
          <w:color w:val="000000"/>
          <w:sz w:val="21"/>
          <w:szCs w:val="21"/>
          <w:rFonts w:ascii="Calibri" w:hAnsi="Calibri" w:eastAsia="Noto Sans CJK SC"/>
        </w:rPr>
        <w:t>分析工具和理想类型（ideal types）</w:t>
      </w:r>
      <w:r>
        <w:rPr>
          <w:color w:val="000000"/>
          <w:sz w:val="21"/>
          <w:szCs w:val="21"/>
          <w:rFonts w:ascii="Calibri" w:hAnsi="Calibri" w:eastAsia="Noto Sans CJK SC"/>
        </w:rPr>
        <w:t>。现实国家可能混合不同特征，也会随时间变化。</w:t>
      </w:r>
    </w:p>
    <w:p>
      <w:pPr>
        <w:sectPr>
          <w:headerReference w:type="default" r:id="rId45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第04页｜Esping-Andersen’s Three Worlds｜福利资本主义的三个世界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Liberal: market central; family and state marginal.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自由主义：市场居于中心；家庭和国家在表中相对边缘。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Conservative-corporatist: family central; market marginal; state subsidiary.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保守—法团主义：家庭居于中心；市场相对边缘；国家起辅助作用。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democratic: state central; family and market marginal.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社会民主主义：国家居于中心；家庭和市场在表中相对边缘。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Dominant locus / mode of solidarity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团结与互助的主要依托／组织方式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Liberal: market / individual; conservative: family / kinship, corporatism, etatism; social democratic: state / universal.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自由型：市场／个人；保守型：家庭／亲属关系、法团主义、国家主义；社会民主型：国家／普遍性。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Degree of de-commodification: minimal / high (for breadwinner) / maximum.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去商品化程度：最低／较高（针对家庭主要收入者）／最高。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Modal examples: US / Germany, Italy / Sweden.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典型案例：美国／德国、意大利／瑞典。</w:t>
            </w:r>
          </w:p>
        </w:tc>
      </w:tr>
    </w:tbl>
    <w:p w14:paraId="0B5069C1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第4页｜Esping-Andersen的“三个世界”</w:t>
      </w:r>
    </w:p>
    <w:p w14:paraId="0AA6FA2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本页右上角图片中的表格是重要内容，不只是学者介绍。</w:t>
      </w:r>
    </w:p>
    <w:p w14:paraId="11825C5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Decommodification / Stratification / State–market–family relations</w:t>
      </w:r>
    </w:p>
    <w:p w14:paraId="2B22EF0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去商品化／社会分层／国家—市场—家庭关系</w:t>
      </w:r>
    </w:p>
    <w:p w14:paraId="71A6C379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去商品化 Decommodification</w:t>
      </w:r>
      <w:r>
        <w:rPr>
          <w:b/>
          <w:color w:val="000000"/>
          <w:sz w:val="21"/>
          <w:szCs w:val="21"/>
          <w:rFonts w:ascii="Calibri" w:hAnsi="Calibri" w:eastAsia="Noto Sans CJK SC"/>
        </w:rPr>
        <w:t xml:space="preserve">：</w:t>
      </w:r>
      <w:r>
        <w:rPr>
          <w:color w:val="000000"/>
          <w:sz w:val="21"/>
          <w:szCs w:val="21"/>
          <w:rFonts w:ascii="Calibri" w:hAnsi="Calibri" w:eastAsia="Noto Sans CJK SC"/>
        </w:rPr>
        <w:t>指人们能够在多大程度上，不完全依赖出售劳动力参与市场，也能维持社会认可的基本生活。</w:t>
      </w:r>
    </w:p>
    <w:p w14:paraId="6F2675B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英文：Decommodification concerns the extent to which people can maintain a livelihood independently of market participation.</w:t>
      </w:r>
    </w:p>
    <w:p w14:paraId="5EFAC99B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中文：去商品化关注人们能够在多大程度上不依赖市场参与而维持生活。</w:t>
      </w:r>
    </w:p>
    <w:p w14:paraId="7D2D206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住房领域的补充应用：</w:t>
      </w:r>
      <w:r>
        <w:rPr>
          <w:color w:val="000000"/>
          <w:sz w:val="21"/>
          <w:szCs w:val="21"/>
          <w:rFonts w:ascii="Calibri" w:hAnsi="Calibri" w:eastAsia="Noto Sans CJK SC"/>
        </w:rPr>
        <w:t>如果暂时失去收入，是否仍有住房保障？租金和居住安全是否完全取决于市场支付能力？去商品化不等于取消市场、取消产权，或所有福利都免费。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340476E">
        <w:trPr>
          <w:cantSplit/>
          <w:tblHeader/>
          <w:jc w:val="center"/>
        </w:trPr>
        <w:tc>
          <w:tcPr>
            <w:tcW w:w="2409" w:type="dxa"/>
            <w:shd w:val="clear" w:color="auto" w:fill="E9EFF4"/>
            <w:vAlign w:val="center"/>
          </w:tcPr>
          <w:p w14:paraId="4B1E1359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维度</w:t>
            </w:r>
          </w:p>
        </w:tc>
        <w:tc>
          <w:tcPr>
            <w:tcW w:w="2409" w:type="dxa"/>
            <w:shd w:val="clear" w:color="auto" w:fill="E9EFF4"/>
            <w:vAlign w:val="center"/>
          </w:tcPr>
          <w:p w14:paraId="42963ED1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自由主义 Liberal</w:t>
            </w:r>
          </w:p>
        </w:tc>
        <w:tc>
          <w:tcPr>
            <w:tcW w:w="2409" w:type="dxa"/>
            <w:shd w:val="clear" w:color="auto" w:fill="E9EFF4"/>
            <w:vAlign w:val="center"/>
          </w:tcPr>
          <w:p w14:paraId="4808138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保守／法团主义 Conservative-corporatist</w:t>
            </w:r>
          </w:p>
        </w:tc>
        <w:tc>
          <w:tcPr>
            <w:tcW w:w="2409" w:type="dxa"/>
            <w:shd w:val="clear" w:color="auto" w:fill="E9EFF4"/>
            <w:vAlign w:val="center"/>
          </w:tcPr>
          <w:p w14:paraId="1BE51B72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社会民主主义 Social-democratic</w:t>
            </w:r>
          </w:p>
        </w:tc>
      </w:tr>
      <w:tr w14:paraId="36351C8A">
        <w:trPr>
          <w:cantSplit/>
          <w:jc w:val="center"/>
        </w:trPr>
        <w:tc>
          <w:tcPr>
            <w:tcW w:w="2409" w:type="dxa"/>
            <w:vAlign w:val="center"/>
          </w:tcPr>
          <w:p w14:paraId="64E4904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市场作用</w:t>
            </w:r>
          </w:p>
        </w:tc>
        <w:tc>
          <w:tcPr>
            <w:tcW w:w="2409" w:type="dxa"/>
            <w:vAlign w:val="center"/>
          </w:tcPr>
          <w:p w14:paraId="34D6BDF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中心地位</w:t>
            </w:r>
          </w:p>
        </w:tc>
        <w:tc>
          <w:tcPr>
            <w:tcW w:w="2409" w:type="dxa"/>
            <w:vAlign w:val="center"/>
          </w:tcPr>
          <w:p w14:paraId="6B34FEE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相对受制度与身份安排约束</w:t>
            </w:r>
          </w:p>
        </w:tc>
        <w:tc>
          <w:tcPr>
            <w:tcW w:w="2409" w:type="dxa"/>
            <w:vAlign w:val="center"/>
          </w:tcPr>
          <w:p w14:paraId="6455C23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基本保障较少依赖市场</w:t>
            </w:r>
          </w:p>
        </w:tc>
      </w:tr>
      <w:tr w14:paraId="1DCFA4FD">
        <w:trPr>
          <w:cantSplit/>
          <w:jc w:val="center"/>
        </w:trPr>
        <w:tc>
          <w:tcPr>
            <w:tcW w:w="2409" w:type="dxa"/>
            <w:vAlign w:val="center"/>
          </w:tcPr>
          <w:p w14:paraId="59E06D2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家庭作用</w:t>
            </w:r>
          </w:p>
        </w:tc>
        <w:tc>
          <w:tcPr>
            <w:tcW w:w="2409" w:type="dxa"/>
            <w:vAlign w:val="center"/>
          </w:tcPr>
          <w:p w14:paraId="7F29D1A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表格中相对边缘</w:t>
            </w:r>
          </w:p>
        </w:tc>
        <w:tc>
          <w:tcPr>
            <w:tcW w:w="2409" w:type="dxa"/>
            <w:vAlign w:val="center"/>
          </w:tcPr>
          <w:p w14:paraId="0BEF7D6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中心地位</w:t>
            </w:r>
          </w:p>
        </w:tc>
        <w:tc>
          <w:tcPr>
            <w:tcW w:w="2409" w:type="dxa"/>
            <w:vAlign w:val="center"/>
          </w:tcPr>
          <w:p w14:paraId="1A2293F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基本保障较少依赖家庭</w:t>
            </w:r>
          </w:p>
        </w:tc>
      </w:tr>
      <w:tr w14:paraId="0FF2171B">
        <w:trPr>
          <w:cantSplit/>
          <w:jc w:val="center"/>
        </w:trPr>
        <w:tc>
          <w:tcPr>
            <w:tcW w:w="2409" w:type="dxa"/>
            <w:vAlign w:val="center"/>
          </w:tcPr>
          <w:p w14:paraId="60D985C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国家作用</w:t>
            </w:r>
          </w:p>
        </w:tc>
        <w:tc>
          <w:tcPr>
            <w:tcW w:w="2409" w:type="dxa"/>
            <w:vAlign w:val="center"/>
          </w:tcPr>
          <w:p w14:paraId="055BDA0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相对有限、救助性</w:t>
            </w:r>
          </w:p>
        </w:tc>
        <w:tc>
          <w:tcPr>
            <w:tcW w:w="2409" w:type="dxa"/>
            <w:vAlign w:val="center"/>
          </w:tcPr>
          <w:p w14:paraId="045F20E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辅助性、支持既有制度</w:t>
            </w:r>
          </w:p>
        </w:tc>
        <w:tc>
          <w:tcPr>
            <w:tcW w:w="2409" w:type="dxa"/>
            <w:vAlign w:val="center"/>
          </w:tcPr>
          <w:p w14:paraId="73A60CC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中心地位</w:t>
            </w:r>
          </w:p>
        </w:tc>
      </w:tr>
      <w:tr w14:paraId="586C1772">
        <w:trPr>
          <w:cantSplit/>
          <w:jc w:val="center"/>
        </w:trPr>
        <w:tc>
          <w:tcPr>
            <w:tcW w:w="2409" w:type="dxa"/>
            <w:vAlign w:val="center"/>
          </w:tcPr>
          <w:p w14:paraId="49F8709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团结基础</w:t>
            </w:r>
          </w:p>
        </w:tc>
        <w:tc>
          <w:tcPr>
            <w:tcW w:w="2409" w:type="dxa"/>
            <w:vAlign w:val="center"/>
          </w:tcPr>
          <w:p w14:paraId="1488AC3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个人与市场</w:t>
            </w:r>
          </w:p>
        </w:tc>
        <w:tc>
          <w:tcPr>
            <w:tcW w:w="2409" w:type="dxa"/>
            <w:vAlign w:val="center"/>
          </w:tcPr>
          <w:p w14:paraId="24FF896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家庭、职业及身份群体</w:t>
            </w:r>
          </w:p>
        </w:tc>
        <w:tc>
          <w:tcPr>
            <w:tcW w:w="2409" w:type="dxa"/>
            <w:vAlign w:val="center"/>
          </w:tcPr>
          <w:p w14:paraId="6A693CB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普遍性团结</w:t>
            </w:r>
          </w:p>
        </w:tc>
      </w:tr>
      <w:tr w14:paraId="757A05C4">
        <w:trPr>
          <w:cantSplit/>
          <w:jc w:val="center"/>
        </w:trPr>
        <w:tc>
          <w:tcPr>
            <w:tcW w:w="2409" w:type="dxa"/>
            <w:vAlign w:val="center"/>
          </w:tcPr>
          <w:p w14:paraId="294BA68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图中代表</w:t>
            </w:r>
          </w:p>
        </w:tc>
        <w:tc>
          <w:tcPr>
            <w:tcW w:w="2409" w:type="dxa"/>
            <w:vAlign w:val="center"/>
          </w:tcPr>
          <w:p w14:paraId="6B660BE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美国</w:t>
            </w:r>
          </w:p>
        </w:tc>
        <w:tc>
          <w:tcPr>
            <w:tcW w:w="2409" w:type="dxa"/>
            <w:vAlign w:val="center"/>
          </w:tcPr>
          <w:p w14:paraId="445967B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德国、意大利</w:t>
            </w:r>
          </w:p>
        </w:tc>
        <w:tc>
          <w:tcPr>
            <w:tcW w:w="2409" w:type="dxa"/>
            <w:vAlign w:val="center"/>
          </w:tcPr>
          <w:p w14:paraId="1799640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瑞典</w:t>
            </w:r>
          </w:p>
        </w:tc>
      </w:tr>
    </w:tbl>
    <w:p w14:paraId="111BA46D">
      <w:pPr>
        <w:spacing w:before="0" w:after="70" w:line="276" w:lineRule="auto"/>
        <w:keepLines/>
      </w:pPr>
    </w:p>
    <w:p w14:paraId="49CC137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图片细节：</w:t>
      </w:r>
      <w:r>
        <w:rPr>
          <w:color w:val="000000"/>
          <w:sz w:val="21"/>
          <w:szCs w:val="21"/>
          <w:rFonts w:ascii="Calibri" w:hAnsi="Calibri" w:eastAsia="Noto Sans CJK SC"/>
        </w:rPr>
        <w:t>保守型体制的去商品化写作“High (for breadwinner)”——对家庭主要收入者可能较高，但不能推论所有群体享有同等保障。</w:t>
      </w:r>
    </w:p>
    <w:p w14:paraId="6C1546F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易错点：</w:t>
      </w:r>
      <w:r>
        <w:rPr>
          <w:color w:val="000000"/>
          <w:sz w:val="21"/>
          <w:szCs w:val="21"/>
          <w:rFonts w:ascii="Calibri" w:hAnsi="Calibri" w:eastAsia="Noto Sans CJK SC"/>
        </w:rPr>
        <w:t>不能只按政府开支大小分类；不能认为保守型国家没有强大的国家制度。</w:t>
      </w:r>
    </w:p>
    <w:p>
      <w:pPr>
        <w:sectPr>
          <w:headerReference w:type="default" r:id="rId46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第05页｜Market–State–Family｜市场、国家与家庭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Market / State / Family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市场／国家／家庭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rights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社会权利：获得社会保障的权利。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Stratification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社会分层：不同群体之间的地位和资源差异。</w:t>
            </w:r>
          </w:p>
        </w:tc>
      </w:tr>
    </w:tbl>
    <w:p w14:paraId="6193663E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第5页｜国家、市场、家庭：谁承担福利责任？</w:t>
      </w:r>
    </w:p>
    <w:p w14:paraId="12FBD90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三个相交圆为</w:t>
      </w:r>
      <w:r>
        <w:rPr>
          <w:b/>
          <w:color w:val="000000"/>
          <w:sz w:val="21"/>
          <w:szCs w:val="21"/>
          <w:rFonts w:ascii="Calibri" w:hAnsi="Calibri" w:eastAsia="Noto Sans CJK SC"/>
        </w:rPr>
        <w:t>State（国家）、Market（市场）、Family（家庭）</w:t>
      </w:r>
      <w:r>
        <w:rPr>
          <w:color w:val="000000"/>
          <w:sz w:val="21"/>
          <w:szCs w:val="21"/>
          <w:rFonts w:ascii="Calibri" w:hAnsi="Calibri" w:eastAsia="Noto Sans CJK SC"/>
        </w:rPr>
        <w:t>，旁边两个概念是</w:t>
      </w:r>
      <w:r>
        <w:rPr>
          <w:b/>
          <w:color w:val="000000"/>
          <w:sz w:val="21"/>
          <w:szCs w:val="21"/>
          <w:rFonts w:ascii="Calibri" w:hAnsi="Calibri" w:eastAsia="Noto Sans CJK SC"/>
        </w:rPr>
        <w:t>Social rights（社会权利）和Stratification（社会分层）</w:t>
      </w:r>
      <w:r>
        <w:rPr>
          <w:color w:val="000000"/>
          <w:sz w:val="21"/>
          <w:szCs w:val="21"/>
          <w:rFonts w:ascii="Calibri" w:hAnsi="Calibri" w:eastAsia="Noto Sans CJK SC"/>
        </w:rPr>
        <w:t>。</w:t>
      </w:r>
    </w:p>
    <w:p w14:paraId="07AC768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Who provides welfare, and how does provision shape inequality?</w:t>
      </w:r>
    </w:p>
    <w:p w14:paraId="5AC7A6CB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谁提供福利？供给方式如何影响不平等？</w:t>
      </w:r>
    </w:p>
    <w:p w14:paraId="482BABA3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社会权利：</w:t>
      </w:r>
      <w:r>
        <w:rPr>
          <w:color w:val="000000"/>
          <w:sz w:val="21"/>
          <w:szCs w:val="21"/>
          <w:rFonts w:ascii="Calibri" w:hAnsi="Calibri" w:eastAsia="Noto Sans CJK SC"/>
        </w:rPr>
        <w:t>人们取得社会保障的权利与资格。需问保障基于公民或居民身份、职业缴费，还是经济困难。</w:t>
      </w:r>
    </w:p>
    <w:p w14:paraId="171C4076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社会分层：</w:t>
      </w:r>
      <w:r>
        <w:rPr>
          <w:color w:val="000000"/>
          <w:sz w:val="21"/>
          <w:szCs w:val="21"/>
          <w:rFonts w:ascii="Calibri" w:hAnsi="Calibri" w:eastAsia="Noto Sans CJK SC"/>
        </w:rPr>
        <w:t>社会政策如何维持、减轻或重新产生群体差异。</w:t>
      </w:r>
    </w:p>
    <w:p w14:paraId="6CE13ABC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住房应用示例：靠个人收入租房体现市场责任；靠父母首付或继承体现家庭责任；靠公共住房、补贴或租住保障体现国家责任。</w:t>
      </w:r>
    </w:p>
    <w:p w14:paraId="294B6B0D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英文：Housing systems can reduce inequality, but they can also reproduce differences between social groups.</w:t>
      </w:r>
    </w:p>
    <w:p w14:paraId="10646A3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中文：住房制度可以减少不平等，也可能再生产不同社会群体之间的差异。</w:t>
      </w:r>
    </w:p>
    <w:p w14:paraId="590EFC7A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易错点：</w:t>
      </w:r>
      <w:r>
        <w:rPr>
          <w:color w:val="000000"/>
          <w:sz w:val="21"/>
          <w:szCs w:val="21"/>
          <w:rFonts w:ascii="Calibri" w:hAnsi="Calibri" w:eastAsia="Noto Sans CJK SC"/>
        </w:rPr>
        <w:t>家庭支持不一定人人平等，家庭财富差距可能转化为下一代的住房机会差距。</w:t>
      </w:r>
    </w:p>
    <w:p>
      <w:pPr>
        <w:sectPr>
          <w:headerReference w:type="default" r:id="rId47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第06页｜Developmentalism｜发展主义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 state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发展型国家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Strong state intervention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强有力的国家干预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Extensive regulation and planning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广泛的监管与规划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Harnessing national resources and directing incentives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统筹国家资源，运用激励引导发展。</w:t>
            </w:r>
          </w:p>
        </w:tc>
      </w:tr>
    </w:tbl>
    <w:p w14:paraId="0E58F494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第6页｜发展主义 Developmentalism</w:t>
      </w:r>
    </w:p>
    <w:p w14:paraId="3315CB4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课件明确提出：</w:t>
      </w:r>
      <w:r>
        <w:rPr>
          <w:b/>
          <w:color w:val="000000"/>
          <w:sz w:val="21"/>
          <w:szCs w:val="21"/>
          <w:rFonts w:ascii="Calibri" w:hAnsi="Calibri" w:eastAsia="Noto Sans CJK SC"/>
        </w:rPr>
        <w:t>Strong state intervention（强有力的国家干预）、Extensive regulation and planning（广泛监管与规划）、Harnessing national resources（动员国家资源）、Directing incentives（引导激励机制）</w:t>
      </w:r>
      <w:r>
        <w:rPr>
          <w:color w:val="000000"/>
          <w:sz w:val="21"/>
          <w:szCs w:val="21"/>
          <w:rFonts w:ascii="Calibri" w:hAnsi="Calibri" w:eastAsia="Noto Sans CJK SC"/>
        </w:rPr>
        <w:t>。</w:t>
      </w:r>
    </w:p>
    <w:p w14:paraId="6CC2FB7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State intervention is directed towards development goals.</w:t>
      </w:r>
    </w:p>
    <w:p w14:paraId="2D36660A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国家干预服务于发展目标。</w:t>
      </w:r>
    </w:p>
    <w:p w14:paraId="1F56D7B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关键不是简单说“政府管得多”，而是解释国家如何利用政策、资源和激励推动发展。</w:t>
      </w:r>
    </w:p>
    <w:p w14:paraId="173C76FF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住房补充理解：</w:t>
      </w:r>
      <w:r>
        <w:rPr>
          <w:color w:val="000000"/>
          <w:sz w:val="21"/>
          <w:szCs w:val="21"/>
          <w:rFonts w:ascii="Calibri" w:hAnsi="Calibri" w:eastAsia="Noto Sans CJK SC"/>
        </w:rPr>
        <w:t>住房政策可能同时服务于改善居住、稳定劳动力、支持工业化或引导城市发展等目标。具体判断需要证据，不能只凭政府参与。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9E33AC6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03562D66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比较点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1D8B1EC2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保守／法团主义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0497ACE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发展型国家</w:t>
            </w:r>
          </w:p>
        </w:tc>
      </w:tr>
      <w:tr w14:paraId="70318E77">
        <w:trPr>
          <w:cantSplit/>
          <w:jc w:val="center"/>
        </w:trPr>
        <w:tc>
          <w:tcPr>
            <w:tcW w:w="3213" w:type="dxa"/>
            <w:vAlign w:val="center"/>
          </w:tcPr>
          <w:p w14:paraId="4C004DE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解释重点</w:t>
            </w:r>
          </w:p>
        </w:tc>
        <w:tc>
          <w:tcPr>
            <w:tcW w:w="3213" w:type="dxa"/>
            <w:vAlign w:val="center"/>
          </w:tcPr>
          <w:p w14:paraId="12DFA2A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职业身份、社会保险、家庭与地位安排</w:t>
            </w:r>
          </w:p>
        </w:tc>
        <w:tc>
          <w:tcPr>
            <w:tcW w:w="3213" w:type="dxa"/>
            <w:vAlign w:val="center"/>
          </w:tcPr>
          <w:p w14:paraId="05F2E3C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发展战略、资源动员与政策协调</w:t>
            </w:r>
          </w:p>
        </w:tc>
      </w:tr>
      <w:tr w14:paraId="3D7A4A44">
        <w:trPr>
          <w:cantSplit/>
          <w:jc w:val="center"/>
        </w:trPr>
        <w:tc>
          <w:tcPr>
            <w:tcW w:w="3213" w:type="dxa"/>
            <w:vAlign w:val="center"/>
          </w:tcPr>
          <w:p w14:paraId="5705D59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家庭作用</w:t>
            </w:r>
          </w:p>
        </w:tc>
        <w:tc>
          <w:tcPr>
            <w:tcW w:w="3213" w:type="dxa"/>
            <w:vAlign w:val="center"/>
          </w:tcPr>
          <w:p w14:paraId="3B7FBEA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常是福利责任的重要承担者</w:t>
            </w:r>
          </w:p>
        </w:tc>
        <w:tc>
          <w:tcPr>
            <w:tcW w:w="3213" w:type="dxa"/>
            <w:vAlign w:val="center"/>
          </w:tcPr>
          <w:p w14:paraId="1A175DC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也可能重要，但需联系发展逻辑</w:t>
            </w:r>
          </w:p>
        </w:tc>
      </w:tr>
      <w:tr w14:paraId="4EF939DD">
        <w:trPr>
          <w:cantSplit/>
          <w:jc w:val="center"/>
        </w:trPr>
        <w:tc>
          <w:tcPr>
            <w:tcW w:w="3213" w:type="dxa"/>
            <w:vAlign w:val="center"/>
          </w:tcPr>
          <w:p w14:paraId="0DB4187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判断依据</w:t>
            </w:r>
          </w:p>
        </w:tc>
        <w:tc>
          <w:tcPr>
            <w:tcW w:w="3213" w:type="dxa"/>
            <w:vAlign w:val="center"/>
          </w:tcPr>
          <w:p w14:paraId="67DA06A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福利资格如何组织</w:t>
            </w:r>
          </w:p>
        </w:tc>
        <w:tc>
          <w:tcPr>
            <w:tcW w:w="3213" w:type="dxa"/>
            <w:vAlign w:val="center"/>
          </w:tcPr>
          <w:p w14:paraId="7729233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政策如何服务发展目标</w:t>
            </w:r>
          </w:p>
        </w:tc>
      </w:tr>
    </w:tbl>
    <w:p w14:paraId="0B6D5CD9">
      <w:pPr>
        <w:spacing w:before="0" w:after="70" w:line="276" w:lineRule="auto"/>
        <w:keepLines/>
      </w:pPr>
    </w:p>
    <w:p w14:paraId="7EE0E15B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英文：Similar policy instruments may serve different institutional purposes.</w:t>
      </w:r>
    </w:p>
    <w:p w14:paraId="44F8EAA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中文：相似的政策工具可能服务于不同的制度目标。</w:t>
      </w:r>
    </w:p>
    <w:p w14:paraId="21AD51A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听课宝中的“条件化福利”不是发展型国家独有。</w:t>
      </w:r>
      <w:r>
        <w:rPr>
          <w:color w:val="000000"/>
          <w:sz w:val="21"/>
          <w:szCs w:val="21"/>
          <w:rFonts w:ascii="Calibri" w:hAnsi="Calibri" w:eastAsia="Noto Sans CJK SC"/>
        </w:rPr>
        <w:t>其他体制也可能设置收入、缴费或居住资格。</w:t>
      </w:r>
    </w:p>
    <w:p>
      <w:pPr>
        <w:sectPr>
          <w:headerReference w:type="default" r:id="rId48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第07页｜T4. Public housing provision｜公共住房供给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公共住房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Provision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供给／提供</w:t>
            </w:r>
          </w:p>
        </w:tc>
      </w:tr>
    </w:tbl>
    <w:p w14:paraId="317262BF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第7页｜公共住房供给 Public Housing Provision</w:t>
      </w:r>
    </w:p>
    <w:p w14:paraId="18D9639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这是T4的主题引入页。</w:t>
      </w:r>
    </w:p>
    <w:p w14:paraId="5CD282AA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Provider / Eligibility / Financing / Allocation</w:t>
      </w:r>
    </w:p>
    <w:p w14:paraId="55ED4F8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供给主体／准入资格／筹资方式／分配机制</w:t>
      </w:r>
    </w:p>
    <w:p w14:paraId="26BA882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复习公共住房时，优先分析上述四个维度。</w:t>
      </w:r>
    </w:p>
    <w:p w14:paraId="68195F2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Public housing（公共住房）：</w:t>
      </w:r>
      <w:r>
        <w:rPr>
          <w:color w:val="000000"/>
          <w:sz w:val="21"/>
          <w:szCs w:val="21"/>
          <w:rFonts w:ascii="Calibri" w:hAnsi="Calibri" w:eastAsia="Noto Sans CJK SC"/>
        </w:rPr>
        <w:t>通常强调公共部门在所有、供给或管理中的作用，具体定义因地区而异。</w:t>
      </w:r>
    </w:p>
    <w:p w14:paraId="6C1EC37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Social housing（社会住房）：</w:t>
      </w:r>
      <w:r>
        <w:rPr>
          <w:color w:val="000000"/>
          <w:sz w:val="21"/>
          <w:szCs w:val="21"/>
          <w:rFonts w:ascii="Calibri" w:hAnsi="Calibri" w:eastAsia="Noto Sans CJK SC"/>
        </w:rPr>
        <w:t>范围可能更广，包括住房协会、非营利机构等提供的住房。</w:t>
      </w:r>
    </w:p>
    <w:p w14:paraId="072AB1F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Word把政府和非营利机构供给放在一起解释，适合初步理解；严格比较时应区分机构与制度。</w:t>
      </w:r>
    </w:p>
    <w:p w14:paraId="42A2583A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英文：Public housing and social housing overlap, but their meanings vary across national contexts.</w:t>
      </w:r>
    </w:p>
    <w:p w14:paraId="1A9110BC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中文：公共住房与社会住房存在重叠，但含义因国家背景而异。</w:t>
      </w:r>
    </w:p>
    <w:p>
      <w:pPr>
        <w:sectPr>
          <w:headerReference w:type="default" r:id="rId49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第08页｜Europe / North America｜欧洲与北美案例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United Kingdom: Council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英国：市营住房／地方政府住房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France: Habitat social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法国：社会住房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Sweden: Million Program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瑞典：百万住宅计划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Austria: Non-profit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奥地利：非营利住房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United States: FHA; Section 8 Housing Choice Voucher Program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美国：联邦住房管理局；第8条住房选择券计划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Canada: CMHC; mortgage insurance; affordable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加拿大：CMHC住房机构；抵押贷款保险；可负担住房</w:t>
            </w:r>
          </w:p>
        </w:tc>
      </w:tr>
    </w:tbl>
    <w:p w14:paraId="7D2E2C46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第8页｜欧洲与北美的住房政策案例</w:t>
      </w:r>
    </w:p>
    <w:p w14:paraId="3E3130DB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本页帮助认识不同政策工具，不建议优先死记年份。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3A9CBEA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737412F7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案例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662F8AD3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0CD58258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政策机制</w:t>
            </w:r>
          </w:p>
        </w:tc>
      </w:tr>
      <w:tr w14:paraId="4A265FC1">
        <w:trPr>
          <w:cantSplit/>
          <w:jc w:val="center"/>
        </w:trPr>
        <w:tc>
          <w:tcPr>
            <w:tcW w:w="3213" w:type="dxa"/>
            <w:vAlign w:val="center"/>
          </w:tcPr>
          <w:p w14:paraId="01F634F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UK: Council housing</w:t>
            </w:r>
          </w:p>
        </w:tc>
        <w:tc>
          <w:tcPr>
            <w:tcW w:w="3213" w:type="dxa"/>
            <w:vAlign w:val="center"/>
          </w:tcPr>
          <w:p w14:paraId="602A75A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英国市营住房</w:t>
            </w:r>
          </w:p>
        </w:tc>
        <w:tc>
          <w:tcPr>
            <w:tcW w:w="3213" w:type="dxa"/>
            <w:vAlign w:val="center"/>
          </w:tcPr>
          <w:p w14:paraId="7A2AFFC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地方公共部门供给与管理</w:t>
            </w:r>
          </w:p>
        </w:tc>
      </w:tr>
      <w:tr w14:paraId="5D59BC12">
        <w:trPr>
          <w:cantSplit/>
          <w:jc w:val="center"/>
        </w:trPr>
        <w:tc>
          <w:tcPr>
            <w:tcW w:w="3213" w:type="dxa"/>
            <w:vAlign w:val="center"/>
          </w:tcPr>
          <w:p w14:paraId="06F78CA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France: Habitat social</w:t>
            </w:r>
          </w:p>
        </w:tc>
        <w:tc>
          <w:tcPr>
            <w:tcW w:w="3213" w:type="dxa"/>
            <w:vAlign w:val="center"/>
          </w:tcPr>
          <w:p w14:paraId="1472829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法国社会住房</w:t>
            </w:r>
          </w:p>
        </w:tc>
        <w:tc>
          <w:tcPr>
            <w:tcW w:w="3213" w:type="dxa"/>
            <w:vAlign w:val="center"/>
          </w:tcPr>
          <w:p w14:paraId="6A9A723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社会性住房安排</w:t>
            </w:r>
          </w:p>
        </w:tc>
      </w:tr>
      <w:tr w14:paraId="15DC6A06">
        <w:trPr>
          <w:cantSplit/>
          <w:jc w:val="center"/>
        </w:trPr>
        <w:tc>
          <w:tcPr>
            <w:tcW w:w="3213" w:type="dxa"/>
            <w:vAlign w:val="center"/>
          </w:tcPr>
          <w:p w14:paraId="09B9537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Sweden: Million Programme</w:t>
            </w:r>
          </w:p>
        </w:tc>
        <w:tc>
          <w:tcPr>
            <w:tcW w:w="3213" w:type="dxa"/>
            <w:vAlign w:val="center"/>
          </w:tcPr>
          <w:p w14:paraId="16D6E74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瑞典百万住宅计划</w:t>
            </w:r>
          </w:p>
        </w:tc>
        <w:tc>
          <w:tcPr>
            <w:tcW w:w="3213" w:type="dxa"/>
            <w:vAlign w:val="center"/>
          </w:tcPr>
          <w:p w14:paraId="5D80FFE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大规模住房建设</w:t>
            </w:r>
          </w:p>
        </w:tc>
      </w:tr>
      <w:tr w14:paraId="7AB72E5F">
        <w:trPr>
          <w:cantSplit/>
          <w:jc w:val="center"/>
        </w:trPr>
        <w:tc>
          <w:tcPr>
            <w:tcW w:w="3213" w:type="dxa"/>
            <w:vAlign w:val="center"/>
          </w:tcPr>
          <w:p w14:paraId="3C09FA3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Austria: Non-profit housing</w:t>
            </w:r>
          </w:p>
        </w:tc>
        <w:tc>
          <w:tcPr>
            <w:tcW w:w="3213" w:type="dxa"/>
            <w:vAlign w:val="center"/>
          </w:tcPr>
          <w:p w14:paraId="463CA30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奥地利非营利住房</w:t>
            </w:r>
          </w:p>
        </w:tc>
        <w:tc>
          <w:tcPr>
            <w:tcW w:w="3213" w:type="dxa"/>
            <w:vAlign w:val="center"/>
          </w:tcPr>
          <w:p w14:paraId="53217F4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非营利机构、补贴与制度支持</w:t>
            </w:r>
          </w:p>
        </w:tc>
      </w:tr>
      <w:tr w14:paraId="13380EB0">
        <w:trPr>
          <w:cantSplit/>
          <w:jc w:val="center"/>
        </w:trPr>
        <w:tc>
          <w:tcPr>
            <w:tcW w:w="3213" w:type="dxa"/>
            <w:vAlign w:val="center"/>
          </w:tcPr>
          <w:p w14:paraId="27439AC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US: Public housing / Section 8</w:t>
            </w:r>
          </w:p>
        </w:tc>
        <w:tc>
          <w:tcPr>
            <w:tcW w:w="3213" w:type="dxa"/>
            <w:vAlign w:val="center"/>
          </w:tcPr>
          <w:p w14:paraId="00ED000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美国公共住房／第8条住房支持</w:t>
            </w:r>
          </w:p>
        </w:tc>
        <w:tc>
          <w:tcPr>
            <w:tcW w:w="3213" w:type="dxa"/>
            <w:vAlign w:val="center"/>
          </w:tcPr>
          <w:p w14:paraId="5DBB106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区分直接供给与租金补贴等工具</w:t>
            </w:r>
          </w:p>
        </w:tc>
      </w:tr>
      <w:tr w14:paraId="0F025555">
        <w:trPr>
          <w:cantSplit/>
          <w:jc w:val="center"/>
        </w:trPr>
        <w:tc>
          <w:tcPr>
            <w:tcW w:w="3213" w:type="dxa"/>
            <w:vAlign w:val="center"/>
          </w:tcPr>
          <w:p w14:paraId="2FE61ED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Canada: CMHC</w:t>
            </w:r>
          </w:p>
        </w:tc>
        <w:tc>
          <w:tcPr>
            <w:tcW w:w="3213" w:type="dxa"/>
            <w:vAlign w:val="center"/>
          </w:tcPr>
          <w:p w14:paraId="5CAEA2F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加拿大住房机构</w:t>
            </w:r>
          </w:p>
        </w:tc>
        <w:tc>
          <w:tcPr>
            <w:tcW w:w="3213" w:type="dxa"/>
            <w:vAlign w:val="center"/>
          </w:tcPr>
          <w:p w14:paraId="6CA172A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住房融资、保险与政策支持</w:t>
            </w:r>
          </w:p>
        </w:tc>
      </w:tr>
    </w:tbl>
    <w:p w14:paraId="240C2E48">
      <w:pPr>
        <w:spacing w:before="0" w:after="70" w:line="276" w:lineRule="auto"/>
        <w:keepLines/>
      </w:pPr>
    </w:p>
    <w:p w14:paraId="44E2529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Direct provision and market-based support are different policy tools.</w:t>
      </w:r>
    </w:p>
    <w:p w14:paraId="69FAAB6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直接供给与通过市场实施的支持，是不同政策工具。</w:t>
      </w:r>
    </w:p>
    <w:p w14:paraId="60F0CD11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事实更正，勿沿用课件与Word中的错误：</w:t>
      </w:r>
    </w:p>
    <w:p w14:paraId="6593B8C6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FHA于1934年成立，不能记成由1937年《住房法》设立。1937年法案建立的是United States Housing Authority（USHA）。见文末官方资料[1][2]。</w:t>
      </w:r>
    </w:p>
    <w:p w14:paraId="33092CDB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CMHC于1946年成立，不能记成1949年成立。见[3]。</w:t>
      </w:r>
    </w:p>
    <w:p w14:paraId="2131CAA9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瑞典百万住宅计划涉及1965—1974年间不同形式的住房建设，并非全部都是公共租赁住房。见[4]。</w:t>
      </w:r>
    </w:p>
    <w:p w14:paraId="0639C30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政府支持住房，不必然意味着政府直接拥有住房。政府也可通过贷款保险、补贴、监管和支持非营利机构发挥作用。</w:t>
      </w:r>
    </w:p>
    <w:p w14:paraId="310158B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英文：State support for housing can operate through direct provision, subsidies, regulation and mortgage insurance.</w:t>
      </w:r>
    </w:p>
    <w:p w14:paraId="1F8CF97A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中文：国家可通过直接供给、补贴、监管与抵押贷款保险支持住房。</w:t>
      </w:r>
    </w:p>
    <w:p>
      <w:pPr>
        <w:sectPr>
          <w:headerReference w:type="default" r:id="rId5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第09页｜Housing systems and welfare regimes｜住房体系与福利体制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Liberal: self-reliance; market and speculative housing provision; small, residual social sectors. Example: USA.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自由主义：自力更生；以市场和投机性住房供给为主；社会住房部门通常较小、起补缺作用。例：美国。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Social democratic: universal rights; non-market mechanisms; larger social rental sectors. Examples: Sweden, Netherlands.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社会民主主义：普遍权利；非市场机制；较大的社会租赁住房部门。课件例：瑞典、荷兰。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Conservative, corporatist: social insurance; kinship networks; employer-related benefits; state in supportive role. Example: Germany.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保守—法团主义：社会保险；亲属网络；与雇主相关的福利；国家起支持作用。例：德国。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Residual / speculative / kinship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补缺性的／投机性的／亲属关系</w:t>
            </w:r>
          </w:p>
        </w:tc>
      </w:tr>
    </w:tbl>
    <w:p w14:paraId="48EFA410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第9页｜福利体制如何影响住房制度？</w:t>
      </w:r>
    </w:p>
    <w:p w14:paraId="01F50693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Housing systems reflect underlying socio-political institutions.</w:t>
      </w:r>
    </w:p>
    <w:p w14:paraId="376F7327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住房制度反映其背后的社会政治制度。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E3FDD3B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39DD0C4E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体制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225D70E3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课件关键词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5E89BA31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中文解释</w:t>
            </w:r>
          </w:p>
        </w:tc>
      </w:tr>
      <w:tr w14:paraId="6EE7E2A8">
        <w:trPr>
          <w:cantSplit/>
          <w:jc w:val="center"/>
        </w:trPr>
        <w:tc>
          <w:tcPr>
            <w:tcW w:w="3213" w:type="dxa"/>
            <w:vAlign w:val="center"/>
          </w:tcPr>
          <w:p w14:paraId="13531AD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Liberal</w:t>
            </w:r>
          </w:p>
        </w:tc>
        <w:tc>
          <w:tcPr>
            <w:tcW w:w="3213" w:type="dxa"/>
            <w:vAlign w:val="center"/>
          </w:tcPr>
          <w:p w14:paraId="0FB07BE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Self-reliance; market provision; residual social sectors</w:t>
            </w:r>
          </w:p>
        </w:tc>
        <w:tc>
          <w:tcPr>
            <w:tcW w:w="3213" w:type="dxa"/>
            <w:vAlign w:val="center"/>
          </w:tcPr>
          <w:p w14:paraId="2F6E1FD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自力更生、市场供给；社会住房通常较具救助性</w:t>
            </w:r>
          </w:p>
        </w:tc>
      </w:tr>
      <w:tr w14:paraId="4DD04B39">
        <w:trPr>
          <w:cantSplit/>
          <w:jc w:val="center"/>
        </w:trPr>
        <w:tc>
          <w:tcPr>
            <w:tcW w:w="3213" w:type="dxa"/>
            <w:vAlign w:val="center"/>
          </w:tcPr>
          <w:p w14:paraId="3D0CB38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Social-democratic</w:t>
            </w:r>
          </w:p>
        </w:tc>
        <w:tc>
          <w:tcPr>
            <w:tcW w:w="3213" w:type="dxa"/>
            <w:vAlign w:val="center"/>
          </w:tcPr>
          <w:p w14:paraId="0441800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Universal rights; non-market mechanisms; larger social rental sectors</w:t>
            </w:r>
          </w:p>
        </w:tc>
        <w:tc>
          <w:tcPr>
            <w:tcW w:w="3213" w:type="dxa"/>
            <w:vAlign w:val="center"/>
          </w:tcPr>
          <w:p w14:paraId="1ED2D20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普遍权利、非市场机制；较广泛的社会租赁部门</w:t>
            </w:r>
          </w:p>
        </w:tc>
      </w:tr>
      <w:tr w14:paraId="2B25FB5D">
        <w:trPr>
          <w:cantSplit/>
          <w:jc w:val="center"/>
        </w:trPr>
        <w:tc>
          <w:tcPr>
            <w:tcW w:w="3213" w:type="dxa"/>
            <w:vAlign w:val="center"/>
          </w:tcPr>
          <w:p w14:paraId="2BBCE1E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Conservative-corporatist</w:t>
            </w:r>
          </w:p>
        </w:tc>
        <w:tc>
          <w:tcPr>
            <w:tcW w:w="3213" w:type="dxa"/>
            <w:vAlign w:val="center"/>
          </w:tcPr>
          <w:p w14:paraId="22A575B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Social insurance; kinship networks; employer benefits; supportive state</w:t>
            </w:r>
          </w:p>
        </w:tc>
        <w:tc>
          <w:tcPr>
            <w:tcW w:w="3213" w:type="dxa"/>
            <w:vAlign w:val="center"/>
          </w:tcPr>
          <w:p w14:paraId="406EB63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社会保险、亲属网络、雇主福利及国家支持</w:t>
            </w:r>
          </w:p>
        </w:tc>
      </w:tr>
    </w:tbl>
    <w:p w14:paraId="7F4003EB">
      <w:pPr>
        <w:spacing w:before="0" w:after="70" w:line="276" w:lineRule="auto"/>
        <w:keepLines/>
      </w:pPr>
    </w:p>
    <w:p w14:paraId="5DD16AF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Residual（残余性／补缺性）：</w:t>
      </w:r>
      <w:r>
        <w:rPr>
          <w:color w:val="000000"/>
          <w:sz w:val="21"/>
          <w:szCs w:val="21"/>
          <w:rFonts w:ascii="Calibri" w:hAnsi="Calibri" w:eastAsia="Noto Sans CJK SC"/>
        </w:rPr>
        <w:t>公共支持较集中于市场和家庭不能满足需要的群体，不能理解为政策没有价值。</w:t>
      </w:r>
    </w:p>
    <w:p w14:paraId="5C163A7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辨析：</w:t>
      </w:r>
      <w:r>
        <w:rPr>
          <w:color w:val="000000"/>
          <w:sz w:val="21"/>
          <w:szCs w:val="21"/>
          <w:rFonts w:ascii="Calibri" w:hAnsi="Calibri" w:eastAsia="Noto Sans CJK SC"/>
        </w:rPr>
        <w:t>自由主义不等于政府完全不干预；社会民主主义不等于人人免费获配住房；保守型体制不等于住房自有率一定高。</w:t>
      </w:r>
    </w:p>
    <w:p w14:paraId="309F804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课件把荷兰列为社会民主型住房比较案例，但其整体福利体制分类有讨论空间；</w:t>
      </w:r>
      <w:r>
        <w:rPr>
          <w:b/>
          <w:color w:val="000000"/>
          <w:sz w:val="21"/>
          <w:szCs w:val="21"/>
          <w:rFonts w:ascii="Calibri" w:hAnsi="Calibri" w:eastAsia="Noto Sans CJK SC"/>
        </w:rPr>
        <w:t>荷兰不是北欧国家</w:t>
      </w:r>
      <w:r>
        <w:rPr>
          <w:color w:val="000000"/>
          <w:sz w:val="21"/>
          <w:szCs w:val="21"/>
          <w:rFonts w:ascii="Calibri" w:hAnsi="Calibri" w:eastAsia="Noto Sans CJK SC"/>
        </w:rPr>
        <w:t>，Word的地理表述不准确。</w:t>
      </w:r>
    </w:p>
    <w:p w14:paraId="0DECD9BA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英文：A liberal regime tends to rely more heavily on market provision, whereas a social-democratic regime places greater emphasis on universal rights and non-market protection.</w:t>
      </w:r>
    </w:p>
    <w:p w14:paraId="6460718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中文：自由主义体制通常更依赖市场供给，而社会民主主义体制更强调普遍权利与非市场保障。</w:t>
      </w:r>
    </w:p>
    <w:p>
      <w:pPr>
        <w:sectPr>
          <w:headerReference w:type="default" r:id="rId51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第10页｜T5. Private housing and ownership｜私人住房与所有权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Private housing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私人住房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Ownership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所有权</w:t>
            </w:r>
          </w:p>
        </w:tc>
      </w:tr>
    </w:tbl>
    <w:p w14:paraId="27E0202C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第10页｜私有住房与所有权 Private Housing and Ownership</w:t>
      </w:r>
    </w:p>
    <w:p w14:paraId="5D48736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这是T5的主题引入页。</w:t>
      </w:r>
    </w:p>
    <w:p w14:paraId="7526161B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Ownership：谁拥有房屋？Occupation：谁居住在房屋中？</w:t>
      </w:r>
      <w:r>
        <w:rPr>
          <w:color w:val="000000"/>
          <w:sz w:val="21"/>
          <w:szCs w:val="21"/>
          <w:rFonts w:ascii="Calibri" w:hAnsi="Calibri" w:eastAsia="Noto Sans CJK SC"/>
        </w:rPr>
        <w:t>私人拥有的房屋可供业主自住，也可以出租给别人。</w:t>
      </w:r>
    </w:p>
    <w:p w14:paraId="13C25D5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Private ownership does not necessarily mean owner-occupation.</w:t>
      </w:r>
    </w:p>
    <w:p w14:paraId="1D689F7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私人所有不一定等于业主自住。</w:t>
      </w:r>
    </w:p>
    <w:p w14:paraId="56DB4273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补充理解：</w:t>
      </w:r>
      <w:r>
        <w:rPr>
          <w:color w:val="000000"/>
          <w:sz w:val="21"/>
          <w:szCs w:val="21"/>
          <w:rFonts w:ascii="Calibri" w:hAnsi="Calibri" w:eastAsia="Noto Sans CJK SC"/>
        </w:rPr>
        <w:t>私有住房仍受土地、规划、税收、信贷与租赁法规影响，不能理解为没有国家参与。</w:t>
      </w:r>
    </w:p>
    <w:p w14:paraId="283FB82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英文：Private housing markets are shaped by public policy.</w:t>
      </w:r>
    </w:p>
    <w:p w14:paraId="1CBBC55B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中文：私人住房市场受到公共政策塑造。</w:t>
      </w:r>
    </w:p>
    <w:p>
      <w:pPr>
        <w:sectPr>
          <w:headerReference w:type="default" r:id="rId52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第11页｜Private ownership and housing｜私人所有权与住房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class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住房阶层：按住房资源与居住处境形成的群体差别。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tenure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住房占有形式：如业主自住、私人租赁、社会租赁。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Housing career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住房历程／住房生涯：一生中住房状况的变化。</w:t>
            </w:r>
          </w:p>
        </w:tc>
      </w:tr>
    </w:tbl>
    <w:p w14:paraId="4178A347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第11页｜住房阶层、住房占有形式与住房生涯</w:t>
      </w:r>
    </w:p>
    <w:p w14:paraId="05ABE54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Housing class / Housing tenure / Housing career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7A16E87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76B17AF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概念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11472FA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中文解释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59992DF1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记忆问题</w:t>
            </w:r>
          </w:p>
        </w:tc>
      </w:tr>
      <w:tr w14:paraId="39669668">
        <w:trPr>
          <w:cantSplit/>
          <w:jc w:val="center"/>
        </w:trPr>
        <w:tc>
          <w:tcPr>
            <w:tcW w:w="3213" w:type="dxa"/>
            <w:vAlign w:val="center"/>
          </w:tcPr>
          <w:p w14:paraId="2D6BDD1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Housing class</w:t>
            </w:r>
          </w:p>
        </w:tc>
        <w:tc>
          <w:tcPr>
            <w:tcW w:w="3213" w:type="dxa"/>
            <w:vAlign w:val="center"/>
          </w:tcPr>
          <w:p w14:paraId="6D3FD64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住房阶层：不同住房位置及其资源、利益与机会差异</w:t>
            </w:r>
          </w:p>
        </w:tc>
        <w:tc>
          <w:tcPr>
            <w:tcW w:w="3213" w:type="dxa"/>
            <w:vAlign w:val="center"/>
          </w:tcPr>
          <w:p w14:paraId="61675C8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处于什么住房位置？</w:t>
            </w:r>
          </w:p>
        </w:tc>
      </w:tr>
      <w:tr w14:paraId="5417A41D">
        <w:trPr>
          <w:cantSplit/>
          <w:jc w:val="center"/>
        </w:trPr>
        <w:tc>
          <w:tcPr>
            <w:tcW w:w="3213" w:type="dxa"/>
            <w:vAlign w:val="center"/>
          </w:tcPr>
          <w:p w14:paraId="49E4030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Housing tenure</w:t>
            </w:r>
          </w:p>
        </w:tc>
        <w:tc>
          <w:tcPr>
            <w:tcW w:w="3213" w:type="dxa"/>
            <w:vAlign w:val="center"/>
          </w:tcPr>
          <w:p w14:paraId="2239444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住房占有／保有形式：自住、私人租赁、社会租赁等权利安排</w:t>
            </w:r>
          </w:p>
        </w:tc>
        <w:tc>
          <w:tcPr>
            <w:tcW w:w="3213" w:type="dxa"/>
            <w:vAlign w:val="center"/>
          </w:tcPr>
          <w:p w14:paraId="053353C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以什么形式居住？</w:t>
            </w:r>
          </w:p>
        </w:tc>
      </w:tr>
      <w:tr w14:paraId="5A9103F7">
        <w:trPr>
          <w:cantSplit/>
          <w:jc w:val="center"/>
        </w:trPr>
        <w:tc>
          <w:tcPr>
            <w:tcW w:w="3213" w:type="dxa"/>
            <w:vAlign w:val="center"/>
          </w:tcPr>
          <w:p w14:paraId="4AC3529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Housing career</w:t>
            </w:r>
          </w:p>
        </w:tc>
        <w:tc>
          <w:tcPr>
            <w:tcW w:w="3213" w:type="dxa"/>
            <w:vAlign w:val="center"/>
          </w:tcPr>
          <w:p w14:paraId="28DE9D2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住房生涯：个人或家庭住房状况随时间变化的过程</w:t>
            </w:r>
          </w:p>
        </w:tc>
        <w:tc>
          <w:tcPr>
            <w:tcW w:w="3213" w:type="dxa"/>
            <w:vAlign w:val="center"/>
          </w:tcPr>
          <w:p w14:paraId="18CC380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住房经历如何变化？</w:t>
            </w:r>
          </w:p>
        </w:tc>
      </w:tr>
    </w:tbl>
    <w:p w14:paraId="07B02F17">
      <w:pPr>
        <w:spacing w:before="0" w:after="70" w:line="276" w:lineRule="auto"/>
        <w:keepLines/>
      </w:pPr>
    </w:p>
    <w:p w14:paraId="1043F1A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住房生涯示例：与父母同住→求学租房→工作后租房→购买住房→老年阶段调整住房。</w:t>
      </w:r>
    </w:p>
    <w:p w14:paraId="661CA6F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这不是人人必经的固定路线。</w:t>
      </w:r>
      <w:r>
        <w:rPr>
          <w:color w:val="000000"/>
          <w:sz w:val="21"/>
          <w:szCs w:val="21"/>
          <w:rFonts w:ascii="Calibri" w:hAnsi="Calibri" w:eastAsia="Noto Sans CJK SC"/>
        </w:rPr>
        <w:t>也可能长期租房、返家同住，或从自有住房转为租房。</w:t>
      </w:r>
    </w:p>
    <w:p w14:paraId="439AE67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英文：Housing tenure describes an arrangement at a particular time, while a housing career describes changes over time.</w:t>
      </w:r>
    </w:p>
    <w:p w14:paraId="7F0CCAF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中文：住房占有形式描述某一时点的居住安排，住房生涯描述这种安排随时间的变化。</w:t>
      </w:r>
    </w:p>
    <w:p w14:paraId="51EEF3C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易错点：</w:t>
      </w:r>
      <w:r>
        <w:rPr>
          <w:color w:val="000000"/>
          <w:sz w:val="21"/>
          <w:szCs w:val="21"/>
          <w:rFonts w:ascii="Calibri" w:hAnsi="Calibri" w:eastAsia="Noto Sans CJK SC"/>
        </w:rPr>
        <w:t>tenure不是简单指住了多久；housing career不是房地产行业的职业生涯。</w:t>
      </w:r>
    </w:p>
    <w:p>
      <w:pPr>
        <w:sectPr>
          <w:headerReference w:type="default" r:id="rId53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第12页｜The dominance of home ownership｜住房自有的主导地位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Distribution of population by tenure status, 2018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2018年按住房占有形式划分的人口分布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Owner-occupied, with mortgage or loan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业主自住，仍有按揭或贷款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Owner-occupied, no outstanding mortgage or housing loan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业主自住，无未偿还按揭或住房贷款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Tenant, rent at market price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按市场租金租住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Tenant, rent at reduced price or free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减租或免费租住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Source: Eurostat, 2020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来源：欧盟统计局，2020年（图中数据为2018年）</w:t>
            </w:r>
          </w:p>
        </w:tc>
      </w:tr>
    </w:tbl>
    <w:p w14:paraId="62520449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第12页｜住房自有的主导地位：读图题</w:t>
      </w:r>
    </w:p>
    <w:p w14:paraId="7FA882DB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The Dominance of Home Ownership。</w:t>
      </w:r>
      <w:r>
        <w:rPr>
          <w:color w:val="000000"/>
          <w:sz w:val="21"/>
          <w:szCs w:val="21"/>
          <w:rFonts w:ascii="Calibri" w:hAnsi="Calibri" w:eastAsia="Noto Sans CJK SC"/>
        </w:rPr>
        <w:t>图表展示2018年按住房占有形式划分的人口分布；标注来源为Eurostat, 2020。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3968ECA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03ABFDDA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图例英文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664B9659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</w:tr>
      <w:tr w14:paraId="356303B8">
        <w:trPr>
          <w:cantSplit/>
          <w:jc w:val="center"/>
        </w:trPr>
        <w:tc>
          <w:tcPr>
            <w:tcW w:w="4819" w:type="dxa"/>
            <w:vAlign w:val="center"/>
          </w:tcPr>
          <w:p w14:paraId="710B0CD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Owner-occupied, with mortgage or loan</w:t>
            </w:r>
          </w:p>
        </w:tc>
        <w:tc>
          <w:tcPr>
            <w:tcW w:w="4819" w:type="dxa"/>
            <w:vAlign w:val="center"/>
          </w:tcPr>
          <w:p w14:paraId="125AB01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业主自住，仍有按揭或住房贷款</w:t>
            </w:r>
          </w:p>
        </w:tc>
      </w:tr>
      <w:tr w14:paraId="3FA7E2FE">
        <w:trPr>
          <w:cantSplit/>
          <w:jc w:val="center"/>
        </w:trPr>
        <w:tc>
          <w:tcPr>
            <w:tcW w:w="4819" w:type="dxa"/>
            <w:vAlign w:val="center"/>
          </w:tcPr>
          <w:p w14:paraId="315526D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Owner-occupied, no outstanding mortgage or housing loan</w:t>
            </w:r>
          </w:p>
        </w:tc>
        <w:tc>
          <w:tcPr>
            <w:tcW w:w="4819" w:type="dxa"/>
            <w:vAlign w:val="center"/>
          </w:tcPr>
          <w:p w14:paraId="0BCE320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业主自住，无未偿还按揭或住房贷款</w:t>
            </w:r>
          </w:p>
        </w:tc>
      </w:tr>
      <w:tr w14:paraId="26482E30">
        <w:trPr>
          <w:cantSplit/>
          <w:jc w:val="center"/>
        </w:trPr>
        <w:tc>
          <w:tcPr>
            <w:tcW w:w="4819" w:type="dxa"/>
            <w:vAlign w:val="center"/>
          </w:tcPr>
          <w:p w14:paraId="301B1E7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Tenant, rent at market price</w:t>
            </w:r>
          </w:p>
        </w:tc>
        <w:tc>
          <w:tcPr>
            <w:tcW w:w="4819" w:type="dxa"/>
            <w:vAlign w:val="center"/>
          </w:tcPr>
          <w:p w14:paraId="546AEED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按市场租金租住</w:t>
            </w:r>
          </w:p>
        </w:tc>
      </w:tr>
      <w:tr w14:paraId="2F92269B">
        <w:trPr>
          <w:cantSplit/>
          <w:jc w:val="center"/>
        </w:trPr>
        <w:tc>
          <w:tcPr>
            <w:tcW w:w="4819" w:type="dxa"/>
            <w:vAlign w:val="center"/>
          </w:tcPr>
          <w:p w14:paraId="6904E47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Tenant, rent at reduced price or free</w:t>
            </w:r>
          </w:p>
        </w:tc>
        <w:tc>
          <w:tcPr>
            <w:tcW w:w="4819" w:type="dxa"/>
            <w:vAlign w:val="center"/>
          </w:tcPr>
          <w:p w14:paraId="7F89712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减租或免费租住</w:t>
            </w:r>
          </w:p>
        </w:tc>
      </w:tr>
    </w:tbl>
    <w:p w14:paraId="325F3374">
      <w:pPr>
        <w:spacing w:before="0" w:after="70" w:line="276" w:lineRule="auto"/>
        <w:keepLines/>
      </w:pPr>
    </w:p>
    <w:p w14:paraId="064079D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Homeownership rate alone cannot measure housing welfare.</w:t>
      </w:r>
    </w:p>
    <w:p w14:paraId="50450BF6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仅凭住房自有率，不能衡量住房福利水平。</w:t>
      </w:r>
    </w:p>
    <w:p w14:paraId="6E17AFAF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读图步骤：</w:t>
      </w:r>
      <w:r>
        <w:rPr>
          <w:color w:val="000000"/>
          <w:sz w:val="21"/>
          <w:szCs w:val="21"/>
          <w:rFonts w:ascii="Calibri" w:hAnsi="Calibri" w:eastAsia="Noto Sans CJK SC"/>
        </w:rPr>
        <w:t>确认年份和统计对象（人口，不是自动等于家庭或住房单位）；合并两种自住类别；比较国家差异；说明图中没有直接给出住房质量、租住保障或住房负担。</w:t>
      </w:r>
    </w:p>
    <w:p w14:paraId="2808AC0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图中德国、瑞士的租住占比较突出。</w:t>
      </w:r>
      <w:r>
        <w:rPr>
          <w:b/>
          <w:color w:val="000000"/>
          <w:sz w:val="21"/>
          <w:szCs w:val="21"/>
          <w:rFonts w:ascii="Calibri" w:hAnsi="Calibri" w:eastAsia="Noto Sans CJK SC"/>
        </w:rPr>
        <w:t>“减租或免费租住”不能直接等同于公共住房</w:t>
      </w:r>
      <w:r>
        <w:rPr>
          <w:color w:val="000000"/>
          <w:sz w:val="21"/>
          <w:szCs w:val="21"/>
          <w:rFonts w:ascii="Calibri" w:hAnsi="Calibri" w:eastAsia="Noto Sans CJK SC"/>
        </w:rPr>
        <w:t>，统计类别与机构所有权不是同一回事。</w:t>
      </w:r>
    </w:p>
    <w:p w14:paraId="3670DA8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英文：A higher homeownership rate does not necessarily indicate better affordability or greater housing equality.</w:t>
      </w:r>
    </w:p>
    <w:p w14:paraId="1234205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中文：较高的住房自有率不一定意味着可负担性更好或住房更平等。</w:t>
      </w:r>
    </w:p>
    <w:p>
      <w:pPr>
        <w:sectPr>
          <w:headerReference w:type="default" r:id="rId5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第13页｜The Great Recession｜大衰退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Great Recession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大衰退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2007 to 2009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2007—2009年（右下图片所述时段）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Mortgage companies → Lenders → Home builders → Markets → U.S. economy → World economy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按揭贷款公司→贷款机构→住宅建造商→市场→美国经济→世界经济（漫画标签顺序）</w:t>
            </w:r>
          </w:p>
        </w:tc>
      </w:tr>
    </w:tbl>
    <w:p w14:paraId="03A00175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第13页｜住房市场与全球金融危机</w:t>
      </w:r>
    </w:p>
    <w:p w14:paraId="073D38A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本页以图片引入</w:t>
      </w:r>
      <w:r>
        <w:rPr>
          <w:b/>
          <w:color w:val="000000"/>
          <w:sz w:val="21"/>
          <w:szCs w:val="21"/>
          <w:rFonts w:ascii="Calibri" w:hAnsi="Calibri" w:eastAsia="Noto Sans CJK SC"/>
        </w:rPr>
        <w:t>The Great Recession（大衰退）</w:t>
      </w:r>
      <w:r>
        <w:rPr>
          <w:color w:val="000000"/>
          <w:sz w:val="21"/>
          <w:szCs w:val="21"/>
          <w:rFonts w:ascii="Calibri" w:hAnsi="Calibri" w:eastAsia="Noto Sans CJK SC"/>
        </w:rPr>
        <w:t>，表现住房、贷款机构、金融市场与经济之间的连锁关系。</w:t>
      </w:r>
    </w:p>
    <w:p w14:paraId="43CFC7F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机制补充：</w:t>
      </w:r>
      <w:r>
        <w:rPr>
          <w:color w:val="000000"/>
          <w:sz w:val="21"/>
          <w:szCs w:val="21"/>
          <w:rFonts w:ascii="Calibri" w:hAnsi="Calibri" w:eastAsia="Noto Sans CJK SC"/>
        </w:rPr>
        <w:t>房价上涨预期→更多借贷和按揭扩张→家庭及金融机构风险累积→房价下降、违约增加→金融损失及经济冲击。</w:t>
      </w:r>
    </w:p>
    <w:p w14:paraId="3A87A624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Housing is both a place to live and a financial asset.</w:t>
      </w:r>
    </w:p>
    <w:p w14:paraId="5C00F2C6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住房既是居住空间，也是金融资产。</w:t>
      </w:r>
    </w:p>
    <w:p w14:paraId="74EC18C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英文：When housing is closely connected to credit markets, housing risks can spread to the wider economy.</w:t>
      </w:r>
    </w:p>
    <w:p w14:paraId="1C71DA8A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中文：当住房与信贷市场紧密相连时，住房风险可能扩散至更广泛的经济。</w:t>
      </w:r>
    </w:p>
    <w:p w14:paraId="05304590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易错点：</w:t>
      </w:r>
      <w:r>
        <w:rPr>
          <w:color w:val="000000"/>
          <w:sz w:val="21"/>
          <w:szCs w:val="21"/>
          <w:rFonts w:ascii="Calibri" w:hAnsi="Calibri" w:eastAsia="Noto Sans CJK SC"/>
        </w:rPr>
        <w:t>不能简单说私有住房必然造成金融危机；需要解释信贷、债务、监管与风险传导机制。</w:t>
      </w:r>
    </w:p>
    <w:p>
      <w:pPr>
        <w:sectPr>
          <w:headerReference w:type="default" r:id="rId55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第14页｜Asian Financial Crisis｜亚洲金融危机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Asian Financial Crisis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亚洲金融危机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Currency devaluations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货币贬值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 major financial crisis triggered by a sequence of currency devaluations that destabilized the Asian economy in 1997 and 1998.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一系列货币贬值引发严重金融危机，使1997—1998年的亚洲经济陷入动荡。</w:t>
            </w:r>
          </w:p>
        </w:tc>
      </w:tr>
    </w:tbl>
    <w:p w14:paraId="26EBFEF9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第14页｜亚洲金融危机 Asian Financial Crisis</w:t>
      </w:r>
    </w:p>
    <w:p w14:paraId="1E7557AA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图片指出危机发生于</w:t>
      </w:r>
      <w:r>
        <w:rPr>
          <w:b/>
          <w:color w:val="000000"/>
          <w:sz w:val="21"/>
          <w:szCs w:val="21"/>
          <w:rFonts w:ascii="Calibri" w:hAnsi="Calibri" w:eastAsia="Noto Sans CJK SC"/>
        </w:rPr>
        <w:t>1997—1998年</w:t>
      </w:r>
      <w:r>
        <w:rPr>
          <w:color w:val="000000"/>
          <w:sz w:val="21"/>
          <w:szCs w:val="21"/>
          <w:rFonts w:ascii="Calibri" w:hAnsi="Calibri" w:eastAsia="Noto Sans CJK SC"/>
        </w:rPr>
        <w:t>，涉及货币贬值及亚洲经济动荡。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4FBE653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2E8E7479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事件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04E0ADB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本课图片的切入点</w:t>
            </w:r>
          </w:p>
        </w:tc>
      </w:tr>
      <w:tr w14:paraId="6565359D">
        <w:trPr>
          <w:cantSplit/>
          <w:jc w:val="center"/>
        </w:trPr>
        <w:tc>
          <w:tcPr>
            <w:tcW w:w="4819" w:type="dxa"/>
            <w:vAlign w:val="center"/>
          </w:tcPr>
          <w:p w14:paraId="416793F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亚洲金融危机</w:t>
            </w:r>
          </w:p>
        </w:tc>
        <w:tc>
          <w:tcPr>
            <w:tcW w:w="4819" w:type="dxa"/>
            <w:vAlign w:val="center"/>
          </w:tcPr>
          <w:p w14:paraId="3201BA9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汇率、资本流动与区域经济动荡</w:t>
            </w:r>
          </w:p>
        </w:tc>
      </w:tr>
      <w:tr w14:paraId="3D9617CD">
        <w:trPr>
          <w:cantSplit/>
          <w:jc w:val="center"/>
        </w:trPr>
        <w:tc>
          <w:tcPr>
            <w:tcW w:w="4819" w:type="dxa"/>
            <w:vAlign w:val="center"/>
          </w:tcPr>
          <w:p w14:paraId="5686FCB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全球金融危机及大衰退</w:t>
            </w:r>
          </w:p>
        </w:tc>
        <w:tc>
          <w:tcPr>
            <w:tcW w:w="4819" w:type="dxa"/>
            <w:vAlign w:val="center"/>
          </w:tcPr>
          <w:p w14:paraId="525B40A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美国住房、按揭与金融体系之间的联系</w:t>
            </w:r>
          </w:p>
        </w:tc>
      </w:tr>
    </w:tbl>
    <w:p w14:paraId="754EBD16">
      <w:pPr>
        <w:spacing w:before="0" w:after="70" w:line="276" w:lineRule="auto"/>
        <w:keepLines/>
      </w:pPr>
    </w:p>
    <w:p w14:paraId="35726C8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补充理解：</w:t>
      </w:r>
      <w:r>
        <w:rPr>
          <w:color w:val="000000"/>
          <w:sz w:val="21"/>
          <w:szCs w:val="21"/>
          <w:rFonts w:ascii="Calibri" w:hAnsi="Calibri" w:eastAsia="Noto Sans CJK SC"/>
        </w:rPr>
        <w:t>两场危机均可与房地产、信贷和资产价格联系，但触发因素和传播路径不能混为一谈。</w:t>
      </w:r>
    </w:p>
    <w:p w14:paraId="22E7133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 two crises illustrate different ways in which financial instability can affect housing and urban development.</w:t>
      </w:r>
    </w:p>
    <w:p w14:paraId="0AB35EA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中文：两场危机说明金融不稳定可以通过不同途径影响住房与城市发展。</w:t>
      </w:r>
    </w:p>
    <w:p w14:paraId="07639DF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本页没有详细讲授完整危机理论；第一课复习重点是把握联系与区别。</w:t>
      </w:r>
    </w:p>
    <w:p>
      <w:pPr>
        <w:sectPr>
          <w:headerReference w:type="default" r:id="rId56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第15页｜The public of public policy｜公共政策中的“公众”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public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公众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公共政策</w:t>
            </w:r>
          </w:p>
        </w:tc>
      </w:tr>
    </w:tbl>
    <w:p w14:paraId="41D4D4E1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第15页｜公共政策中的“公众”</w:t>
      </w:r>
    </w:p>
    <w:p w14:paraId="64596CE1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The Public of Public Policy。</w:t>
      </w:r>
      <w:r>
        <w:rPr>
          <w:color w:val="000000"/>
          <w:sz w:val="21"/>
          <w:szCs w:val="21"/>
          <w:rFonts w:ascii="Calibri" w:hAnsi="Calibri" w:eastAsia="Noto Sans CJK SC"/>
        </w:rPr>
        <w:t>本页转向T6：公众是什么，公共利益由谁界定。</w:t>
      </w:r>
    </w:p>
    <w:p w14:paraId="656EDAE0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Who is the public, and whose interests count?</w:t>
      </w:r>
    </w:p>
    <w:p w14:paraId="7B55F6C0">
      <w:pPr>
        <w:spacing w:before="0" w:after="70" w:line="276" w:lineRule="auto"/>
        <w:keepLines/>
      </w:pPr>
      <w:r>
        <w:rPr>
          <w:color w:val="C00000"/>
          <w:sz w:val="21"/>
          <w:szCs w:val="21"/>
          <w:rFonts w:ascii="Calibri" w:hAnsi="Calibri" w:eastAsia="Noto Sans CJK SC"/>
          <w:b w:val="1"/>
        </w:rPr>
        <w:t xml:space="preserve">谁属于公众？谁的利益被计入？</w:t>
      </w:r>
    </w:p>
    <w:p w14:paraId="354437E1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结合大纲中Dewey等阅读的补充理解：</w:t>
      </w:r>
      <w:r>
        <w:rPr>
          <w:color w:val="000000"/>
          <w:sz w:val="21"/>
          <w:szCs w:val="21"/>
          <w:rFonts w:ascii="Calibri" w:hAnsi="Calibri" w:eastAsia="Noto Sans CJK SC"/>
        </w:rPr>
        <w:t>哪些人受到政策影响？哪些人能参与决策？哪些诉求容易被排除？政府所说的公共利益如何形成？</w:t>
      </w:r>
    </w:p>
    <w:p w14:paraId="4EEF3AAA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英文：Public policy involves questions about whose needs are recognised and whose voices are heard.</w:t>
      </w:r>
    </w:p>
    <w:p w14:paraId="760E040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中文：公共政策涉及谁的需要获得承认，以及谁的声音能够被听见。</w:t>
      </w:r>
    </w:p>
    <w:p w14:paraId="23783CE3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易错点：</w:t>
      </w:r>
      <w:r>
        <w:rPr>
          <w:color w:val="000000"/>
          <w:sz w:val="21"/>
          <w:szCs w:val="21"/>
          <w:rFonts w:ascii="Calibri" w:hAnsi="Calibri" w:eastAsia="Noto Sans CJK SC"/>
        </w:rPr>
        <w:t>公共不只等于政府所有，还涉及使用资格、参与权、利益分配与问责。</w:t>
      </w:r>
    </w:p>
    <w:p>
      <w:pPr>
        <w:sectPr>
          <w:headerReference w:type="default" r:id="rId57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第16页｜Public / Insurgent Public Space｜公众与公共空间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Public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公众／公共的（依上下文判断）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Insurgent Public Space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《反叛的公共空间》（书名意译）</w:t>
            </w:r>
          </w:p>
        </w:tc>
      </w:tr>
    </w:tbl>
    <w:p w14:paraId="46113448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第16页｜公共空间、讨论与参与</w:t>
      </w:r>
    </w:p>
    <w:p w14:paraId="4884590E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本页以多张图片，包括</w:t>
      </w:r>
      <w:r>
        <w:rPr>
          <w:b/>
          <w:color w:val="000000"/>
          <w:sz w:val="21"/>
          <w:szCs w:val="21"/>
          <w:rFonts w:ascii="Calibri" w:hAnsi="Calibri" w:eastAsia="Noto Sans CJK SC"/>
        </w:rPr>
        <w:t>Insurgent Public Space</w:t>
      </w:r>
      <w:r>
        <w:rPr>
          <w:color w:val="000000"/>
          <w:sz w:val="21"/>
          <w:szCs w:val="21"/>
          <w:rFonts w:ascii="Calibri" w:hAnsi="Calibri" w:eastAsia="Noto Sans CJK SC"/>
        </w:rPr>
        <w:t>，延续公众与公共性主题。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33CA792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4ED34461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术语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1CC8803C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</w:tr>
      <w:tr w14:paraId="1189D39E">
        <w:trPr>
          <w:cantSplit/>
          <w:jc w:val="center"/>
        </w:trPr>
        <w:tc>
          <w:tcPr>
            <w:tcW w:w="4819" w:type="dxa"/>
            <w:vAlign w:val="center"/>
          </w:tcPr>
          <w:p w14:paraId="03DFD31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Public space</w:t>
            </w:r>
          </w:p>
        </w:tc>
        <w:tc>
          <w:tcPr>
            <w:tcW w:w="4819" w:type="dxa"/>
            <w:vAlign w:val="center"/>
          </w:tcPr>
          <w:p w14:paraId="643BAA6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公共空间</w:t>
            </w:r>
          </w:p>
        </w:tc>
      </w:tr>
      <w:tr w14:paraId="4C84C389">
        <w:trPr>
          <w:cantSplit/>
          <w:jc w:val="center"/>
        </w:trPr>
        <w:tc>
          <w:tcPr>
            <w:tcW w:w="4819" w:type="dxa"/>
            <w:vAlign w:val="center"/>
          </w:tcPr>
          <w:p w14:paraId="71AF903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Participation</w:t>
            </w:r>
          </w:p>
        </w:tc>
        <w:tc>
          <w:tcPr>
            <w:tcW w:w="4819" w:type="dxa"/>
            <w:vAlign w:val="center"/>
          </w:tcPr>
          <w:p w14:paraId="3F84AD3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参与</w:t>
            </w:r>
          </w:p>
        </w:tc>
      </w:tr>
      <w:tr w14:paraId="35EB9646">
        <w:trPr>
          <w:cantSplit/>
          <w:jc w:val="center"/>
        </w:trPr>
        <w:tc>
          <w:tcPr>
            <w:tcW w:w="4819" w:type="dxa"/>
            <w:vAlign w:val="center"/>
          </w:tcPr>
          <w:p w14:paraId="35FB31A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Deliberation</w:t>
            </w:r>
          </w:p>
        </w:tc>
        <w:tc>
          <w:tcPr>
            <w:tcW w:w="4819" w:type="dxa"/>
            <w:vAlign w:val="center"/>
          </w:tcPr>
          <w:p w14:paraId="1EFC4ED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审议／通过讨论形成判断</w:t>
            </w:r>
          </w:p>
        </w:tc>
      </w:tr>
      <w:tr w14:paraId="5C9E5347">
        <w:trPr>
          <w:cantSplit/>
          <w:jc w:val="center"/>
        </w:trPr>
        <w:tc>
          <w:tcPr>
            <w:tcW w:w="4819" w:type="dxa"/>
            <w:vAlign w:val="center"/>
          </w:tcPr>
          <w:p w14:paraId="2F1BED7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Insurgent practices</w:t>
            </w:r>
          </w:p>
        </w:tc>
        <w:tc>
          <w:tcPr>
            <w:tcW w:w="4819" w:type="dxa"/>
            <w:vAlign w:val="center"/>
          </w:tcPr>
          <w:p w14:paraId="6D7639B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由下而上挑战或重塑既有空间秩序的实践</w:t>
            </w:r>
          </w:p>
        </w:tc>
      </w:tr>
    </w:tbl>
    <w:p w14:paraId="177A5D5E">
      <w:pPr>
        <w:spacing w:before="0" w:after="70" w:line="276" w:lineRule="auto"/>
        <w:keepLines/>
      </w:pPr>
    </w:p>
    <w:p w14:paraId="10E4D120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图片与大纲引出的解释：</w:t>
      </w:r>
      <w:r>
        <w:rPr>
          <w:color w:val="000000"/>
          <w:sz w:val="21"/>
          <w:szCs w:val="21"/>
          <w:rFonts w:ascii="Calibri" w:hAnsi="Calibri" w:eastAsia="Noto Sans CJK SC"/>
        </w:rPr>
        <w:t>城市广场名义上对所有人开放，但活动限制、消费要求或管理方式可能使一些群体难以使用。</w:t>
      </w:r>
    </w:p>
    <w:p w14:paraId="0CD0B8A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英文：Publicness depends partly on access, participation and the ability to influence decisions.</w:t>
      </w:r>
    </w:p>
    <w:p w14:paraId="1204F6CE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中文：公共性在一定程度上取决于进入机会、参与机会及影响决策的能力。</w:t>
      </w:r>
    </w:p>
    <w:p w14:paraId="3945071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本页没有完整文字论证，上述是辅助解释，不能当作老师在该页明确给出的定义。</w:t>
      </w:r>
    </w:p>
    <w:p>
      <w:pPr>
        <w:sectPr>
          <w:headerReference w:type="default" r:id="rId58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第17页｜T7. Economic domain of urban policy｜城市政策的经济领域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Economic domain of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城市政策的经济领域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cities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智慧城市</w:t>
            </w:r>
          </w:p>
        </w:tc>
      </w:tr>
    </w:tbl>
    <w:p w14:paraId="4CDD594C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第17页｜城市政策的经济领域：智慧城市</w:t>
      </w:r>
    </w:p>
    <w:p w14:paraId="03BAF18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Economic Domain of Urban Policy: Smart Cities。</w:t>
      </w:r>
      <w:r>
        <w:rPr>
          <w:color w:val="000000"/>
          <w:sz w:val="21"/>
          <w:szCs w:val="21"/>
          <w:rFonts w:ascii="Calibri" w:hAnsi="Calibri" w:eastAsia="Noto Sans CJK SC"/>
        </w:rPr>
        <w:t>这是T7主题引入页。</w:t>
      </w:r>
    </w:p>
    <w:p w14:paraId="187DC5A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Smart city（智慧城市）</w:t>
      </w:r>
      <w:r>
        <w:rPr>
          <w:color w:val="000000"/>
          <w:sz w:val="21"/>
          <w:szCs w:val="21"/>
          <w:rFonts w:ascii="Calibri" w:hAnsi="Calibri" w:eastAsia="Noto Sans CJK SC"/>
        </w:rPr>
        <w:t>应联系技术应用、经济发展、公共服务与治理方式共同理解。</w:t>
      </w:r>
    </w:p>
    <w:p w14:paraId="6C8846F2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Evaluate smart cities through social outcomes as well as technology.</w:t>
      </w:r>
    </w:p>
    <w:p w14:paraId="7C1B7EC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评价智慧城市，既要看技术，也要看社会结果。</w:t>
      </w:r>
    </w:p>
    <w:p w14:paraId="3B5F846F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结合大纲阅读的复习问题：</w:t>
      </w:r>
      <w:r>
        <w:rPr>
          <w:color w:val="000000"/>
          <w:sz w:val="21"/>
          <w:szCs w:val="21"/>
          <w:rFonts w:ascii="Calibri" w:hAnsi="Calibri" w:eastAsia="Noto Sans CJK SC"/>
        </w:rPr>
        <w:t>技术改善什么问题？谁受益？谁投资、运行和监督？没有设备或数字技能的人能否取得服务？</w:t>
      </w:r>
    </w:p>
    <w:p w14:paraId="6580FD3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英文：Smart city policies should be assessed in relation to public needs and institutional contexts.</w:t>
      </w:r>
    </w:p>
    <w:p w14:paraId="267A189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中文：应结合公共需要与制度背景评价智慧城市政策。</w:t>
      </w:r>
    </w:p>
    <w:p>
      <w:pPr>
        <w:sectPr>
          <w:headerReference w:type="default" r:id="rId59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第18页｜Smart city｜智慧城市的六个方面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economy: productive industry; entrepreneurship and innovation; sustainable employment.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智慧经济：高效产业、创业与创新、可持续就业。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government: open governance; e-democracy; online services.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智慧政府：开放治理、电子民主、线上服务。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environment: sustainable urban planning; smart resources management; green buildings.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智慧环境：可持续城市规划、智慧资源管理、绿色建筑。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people: inclusive society; creative education.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智慧市民：包容性社会、创造性教育。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living: qualitative lifestyle; healthy and safe society.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智慧生活：优质生活方式、健康与安全的社会。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Smart mobility: green infrastructures; multimodal access; efficient logistics.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智慧出行：绿色基础设施、多种交通方式的通达、物流效率。</w:t>
            </w:r>
          </w:p>
        </w:tc>
      </w:tr>
    </w:tbl>
    <w:p w14:paraId="490F7215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第18页｜智慧城市的六个维度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4038191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5E3E06B6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英文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3F0BB966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41DDB02C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图中例子</w:t>
            </w:r>
          </w:p>
        </w:tc>
      </w:tr>
      <w:tr w14:paraId="3804D579">
        <w:trPr>
          <w:cantSplit/>
          <w:jc w:val="center"/>
        </w:trPr>
        <w:tc>
          <w:tcPr>
            <w:tcW w:w="3213" w:type="dxa"/>
            <w:vAlign w:val="center"/>
          </w:tcPr>
          <w:p w14:paraId="14D2827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economy</w:t>
            </w:r>
          </w:p>
        </w:tc>
        <w:tc>
          <w:tcPr>
            <w:tcW w:w="3213" w:type="dxa"/>
            <w:vAlign w:val="center"/>
          </w:tcPr>
          <w:p w14:paraId="1C683CA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智慧经济</w:t>
            </w:r>
          </w:p>
        </w:tc>
        <w:tc>
          <w:tcPr>
            <w:tcW w:w="3213" w:type="dxa"/>
            <w:vAlign w:val="center"/>
          </w:tcPr>
          <w:p w14:paraId="311D167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生产性产业、创业创新、可持续就业</w:t>
            </w:r>
          </w:p>
        </w:tc>
      </w:tr>
      <w:tr w14:paraId="371D0E0F">
        <w:trPr>
          <w:cantSplit/>
          <w:jc w:val="center"/>
        </w:trPr>
        <w:tc>
          <w:tcPr>
            <w:tcW w:w="3213" w:type="dxa"/>
            <w:vAlign w:val="center"/>
          </w:tcPr>
          <w:p w14:paraId="41AD8D4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government</w:t>
            </w:r>
          </w:p>
        </w:tc>
        <w:tc>
          <w:tcPr>
            <w:tcW w:w="3213" w:type="dxa"/>
            <w:vAlign w:val="center"/>
          </w:tcPr>
          <w:p w14:paraId="61927C8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智慧政府</w:t>
            </w:r>
          </w:p>
        </w:tc>
        <w:tc>
          <w:tcPr>
            <w:tcW w:w="3213" w:type="dxa"/>
            <w:vAlign w:val="center"/>
          </w:tcPr>
          <w:p w14:paraId="10BB435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开放治理、电子民主、在线服务</w:t>
            </w:r>
          </w:p>
        </w:tc>
      </w:tr>
      <w:tr w14:paraId="302237AC">
        <w:trPr>
          <w:cantSplit/>
          <w:jc w:val="center"/>
        </w:trPr>
        <w:tc>
          <w:tcPr>
            <w:tcW w:w="3213" w:type="dxa"/>
            <w:vAlign w:val="center"/>
          </w:tcPr>
          <w:p w14:paraId="3D0B8E9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environment</w:t>
            </w:r>
          </w:p>
        </w:tc>
        <w:tc>
          <w:tcPr>
            <w:tcW w:w="3213" w:type="dxa"/>
            <w:vAlign w:val="center"/>
          </w:tcPr>
          <w:p w14:paraId="1999F01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智慧环境</w:t>
            </w:r>
          </w:p>
        </w:tc>
        <w:tc>
          <w:tcPr>
            <w:tcW w:w="3213" w:type="dxa"/>
            <w:vAlign w:val="center"/>
          </w:tcPr>
          <w:p w14:paraId="1A5D090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可持续规划、资源管理、绿色建筑</w:t>
            </w:r>
          </w:p>
        </w:tc>
      </w:tr>
      <w:tr w14:paraId="76E4F4D5">
        <w:trPr>
          <w:cantSplit/>
          <w:jc w:val="center"/>
        </w:trPr>
        <w:tc>
          <w:tcPr>
            <w:tcW w:w="3213" w:type="dxa"/>
            <w:vAlign w:val="center"/>
          </w:tcPr>
          <w:p w14:paraId="38B4BD6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people</w:t>
            </w:r>
          </w:p>
        </w:tc>
        <w:tc>
          <w:tcPr>
            <w:tcW w:w="3213" w:type="dxa"/>
            <w:vAlign w:val="center"/>
          </w:tcPr>
          <w:p w14:paraId="1A900FD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智慧人群／市民</w:t>
            </w:r>
          </w:p>
        </w:tc>
        <w:tc>
          <w:tcPr>
            <w:tcW w:w="3213" w:type="dxa"/>
            <w:vAlign w:val="center"/>
          </w:tcPr>
          <w:p w14:paraId="5424E30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包容性社会、创造性教育</w:t>
            </w:r>
          </w:p>
        </w:tc>
      </w:tr>
      <w:tr w14:paraId="4D5A17FE">
        <w:trPr>
          <w:cantSplit/>
          <w:jc w:val="center"/>
        </w:trPr>
        <w:tc>
          <w:tcPr>
            <w:tcW w:w="3213" w:type="dxa"/>
            <w:vAlign w:val="center"/>
          </w:tcPr>
          <w:p w14:paraId="2956AEC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living</w:t>
            </w:r>
          </w:p>
        </w:tc>
        <w:tc>
          <w:tcPr>
            <w:tcW w:w="3213" w:type="dxa"/>
            <w:vAlign w:val="center"/>
          </w:tcPr>
          <w:p w14:paraId="7505978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智慧生活</w:t>
            </w:r>
          </w:p>
        </w:tc>
        <w:tc>
          <w:tcPr>
            <w:tcW w:w="3213" w:type="dxa"/>
            <w:vAlign w:val="center"/>
          </w:tcPr>
          <w:p w14:paraId="49367C1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生活质量、健康与安全</w:t>
            </w:r>
          </w:p>
        </w:tc>
      </w:tr>
      <w:tr w14:paraId="66BD1AC5">
        <w:trPr>
          <w:cantSplit/>
          <w:jc w:val="center"/>
        </w:trPr>
        <w:tc>
          <w:tcPr>
            <w:tcW w:w="3213" w:type="dxa"/>
            <w:vAlign w:val="center"/>
          </w:tcPr>
          <w:p w14:paraId="16C5691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mobility</w:t>
            </w:r>
          </w:p>
        </w:tc>
        <w:tc>
          <w:tcPr>
            <w:tcW w:w="3213" w:type="dxa"/>
            <w:vAlign w:val="center"/>
          </w:tcPr>
          <w:p w14:paraId="53127BB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智慧出行</w:t>
            </w:r>
          </w:p>
        </w:tc>
        <w:tc>
          <w:tcPr>
            <w:tcW w:w="3213" w:type="dxa"/>
            <w:vAlign w:val="center"/>
          </w:tcPr>
          <w:p w14:paraId="2D6C36D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绿色基础设施、多模式通达、物流效率</w:t>
            </w:r>
          </w:p>
        </w:tc>
      </w:tr>
    </w:tbl>
    <w:p w14:paraId="34F9AD3E">
      <w:pPr>
        <w:spacing w:before="0" w:after="70" w:line="276" w:lineRule="auto"/>
        <w:keepLines/>
      </w:pPr>
    </w:p>
    <w:p w14:paraId="7614DC8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理解：</w:t>
      </w:r>
      <w:r>
        <w:rPr>
          <w:color w:val="000000"/>
          <w:sz w:val="21"/>
          <w:szCs w:val="21"/>
          <w:rFonts w:ascii="Calibri" w:hAnsi="Calibri" w:eastAsia="Noto Sans CJK SC"/>
        </w:rPr>
        <w:t>智慧城市不只是把政府服务搬到手机上，也涉及居民能力、环境、交通、就业和生活条件。</w:t>
      </w:r>
    </w:p>
    <w:p w14:paraId="4E5A28FD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 diagram presents smart cities as a multidimensional approach to urban development.</w:t>
      </w:r>
    </w:p>
    <w:p w14:paraId="062640A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中文：该图把智慧城市呈现为一种多维度的城市发展方式。</w:t>
      </w:r>
    </w:p>
    <w:p w14:paraId="1568D7D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应用补充：</w:t>
      </w:r>
      <w:r>
        <w:rPr>
          <w:color w:val="000000"/>
          <w:sz w:val="21"/>
          <w:szCs w:val="21"/>
          <w:rFonts w:ascii="Calibri" w:hAnsi="Calibri" w:eastAsia="Noto Sans CJK SC"/>
        </w:rPr>
        <w:t>智慧交通可提高效率，评价时还应考察覆盖、费用与不同群体的使用能力；这一评价要求不是图中原文。</w:t>
      </w:r>
    </w:p>
    <w:p>
      <w:pPr>
        <w:sectPr>
          <w:headerReference w:type="default" r:id="rId6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第19页｜Smart city word clouds｜智慧城市词云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原PPT第19页截图｜下表只对应本页；简短解释不作为PPT原文。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Left: smart city initiatives in China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左图：中国智慧城市举措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Industry / information / management / application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产业／信息／管理／应用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Right: smart city initiatives in U.S. cities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右图：美国城市智慧城市举措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Services / communities / transportation / partnerships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服务／社区／交通运输／伙伴关系</w:t>
            </w:r>
          </w:p>
        </w:tc>
      </w:tr>
    </w:tbl>
    <w:p w14:paraId="49CF2088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第19页｜中国与美国智慧城市词云</w:t>
      </w:r>
    </w:p>
    <w:p w14:paraId="39348594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图片标题为中国智慧城市倡议词云与美国城市智慧城市倡议词云。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E1E75A2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733C83B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中国图中显眼词语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1155781F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美国图中显眼词语</w:t>
            </w:r>
          </w:p>
        </w:tc>
      </w:tr>
      <w:tr w14:paraId="5C40E6DD">
        <w:trPr>
          <w:cantSplit/>
          <w:jc w:val="center"/>
        </w:trPr>
        <w:tc>
          <w:tcPr>
            <w:tcW w:w="4819" w:type="dxa"/>
            <w:vAlign w:val="center"/>
          </w:tcPr>
          <w:p w14:paraId="07323D4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Industry：产业</w:t>
            </w:r>
          </w:p>
        </w:tc>
        <w:tc>
          <w:tcPr>
            <w:tcW w:w="4819" w:type="dxa"/>
            <w:vAlign w:val="center"/>
          </w:tcPr>
          <w:p w14:paraId="163EA61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Services：服务</w:t>
            </w:r>
          </w:p>
        </w:tc>
      </w:tr>
      <w:tr w14:paraId="4361BD3A">
        <w:trPr>
          <w:cantSplit/>
          <w:jc w:val="center"/>
        </w:trPr>
        <w:tc>
          <w:tcPr>
            <w:tcW w:w="4819" w:type="dxa"/>
            <w:vAlign w:val="center"/>
          </w:tcPr>
          <w:p w14:paraId="0F7EF25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Information：信息</w:t>
            </w:r>
          </w:p>
        </w:tc>
        <w:tc>
          <w:tcPr>
            <w:tcW w:w="4819" w:type="dxa"/>
            <w:vAlign w:val="center"/>
          </w:tcPr>
          <w:p w14:paraId="7E151BD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Communities：社区</w:t>
            </w:r>
          </w:p>
        </w:tc>
      </w:tr>
      <w:tr w14:paraId="1BF3284E">
        <w:trPr>
          <w:cantSplit/>
          <w:jc w:val="center"/>
        </w:trPr>
        <w:tc>
          <w:tcPr>
            <w:tcW w:w="4819" w:type="dxa"/>
            <w:vAlign w:val="center"/>
          </w:tcPr>
          <w:p w14:paraId="6E25293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Technology：技术</w:t>
            </w:r>
          </w:p>
        </w:tc>
        <w:tc>
          <w:tcPr>
            <w:tcW w:w="4819" w:type="dxa"/>
            <w:vAlign w:val="center"/>
          </w:tcPr>
          <w:p w14:paraId="6AA70F3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Transportation：交通运输</w:t>
            </w:r>
          </w:p>
        </w:tc>
      </w:tr>
      <w:tr w14:paraId="0AFF47BD">
        <w:trPr>
          <w:cantSplit/>
          <w:jc w:val="center"/>
        </w:trPr>
        <w:tc>
          <w:tcPr>
            <w:tcW w:w="4819" w:type="dxa"/>
            <w:vAlign w:val="center"/>
          </w:tcPr>
          <w:p w14:paraId="2C64FBB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Management：管理</w:t>
            </w:r>
          </w:p>
        </w:tc>
        <w:tc>
          <w:tcPr>
            <w:tcW w:w="4819" w:type="dxa"/>
            <w:vAlign w:val="center"/>
          </w:tcPr>
          <w:p w14:paraId="698591E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Partnerships：伙伴关系</w:t>
            </w:r>
          </w:p>
        </w:tc>
      </w:tr>
      <w:tr w14:paraId="5E1A4B18">
        <w:trPr>
          <w:cantSplit/>
          <w:jc w:val="center"/>
        </w:trPr>
        <w:tc>
          <w:tcPr>
            <w:tcW w:w="4819" w:type="dxa"/>
            <w:vAlign w:val="center"/>
          </w:tcPr>
          <w:p w14:paraId="1111F21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Application：应用</w:t>
            </w:r>
          </w:p>
        </w:tc>
        <w:tc>
          <w:tcPr>
            <w:tcW w:w="4819" w:type="dxa"/>
            <w:vAlign w:val="center"/>
          </w:tcPr>
          <w:p w14:paraId="1E318E0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Planning：规划</w:t>
            </w:r>
          </w:p>
        </w:tc>
      </w:tr>
    </w:tbl>
    <w:p w14:paraId="5C0C09CA">
      <w:pPr>
        <w:spacing w:before="0" w:after="70" w:line="276" w:lineRule="auto"/>
        <w:keepLines/>
      </w:pPr>
    </w:p>
    <w:p w14:paraId="5E6C6A9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谨慎解释：</w:t>
      </w:r>
      <w:r>
        <w:rPr>
          <w:color w:val="000000"/>
          <w:sz w:val="21"/>
          <w:szCs w:val="21"/>
          <w:rFonts w:ascii="Calibri" w:hAnsi="Calibri" w:eastAsia="Noto Sans CJK SC"/>
        </w:rPr>
        <w:t>图中中国材料较突出技术、信息、产业与管理，美国城市材料较突出服务、社区、交通与合作。</w:t>
      </w:r>
    </w:p>
    <w:p w14:paraId="6B6D8CE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A word cloud shows emphasis, not policy effectiveness.</w:t>
      </w:r>
    </w:p>
    <w:p w14:paraId="30D7F9D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词云显示表达重点，不能证明政策成效。</w:t>
      </w:r>
    </w:p>
    <w:p w14:paraId="5624D3A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 word clouds suggest different policy emphases, but they do not establish causal relationships or policy outcomes.</w:t>
      </w:r>
    </w:p>
    <w:p w14:paraId="33908C4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中文：词云提示政策侧重点不同，但不能确立因果关系或证明政策结果。</w:t>
      </w:r>
    </w:p>
    <w:p w14:paraId="2A6EEE1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不能直接推出“中国只有技术、美国只有社区”。还要了解文本样本和研究方法。</w:t>
      </w:r>
    </w:p>
    <w:p>
      <w:pPr>
        <w:sectPr>
          <w:headerReference w:type="default" r:id="rId61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第20页｜T8. Cultural domain of urban policy｜城市政策的文化领域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Cultural domain of urban policy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城市政策的文化领域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Art / culture / history / identity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艺术／文化／历史／认同</w:t>
            </w:r>
          </w:p>
        </w:tc>
      </w:tr>
    </w:tbl>
    <w:p w14:paraId="17FD780D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第20页｜城市政策的文化领域</w:t>
      </w:r>
    </w:p>
    <w:p w14:paraId="72BFAD51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Art, Culture, History, Identity：艺术、文化、历史、认同。</w:t>
      </w:r>
      <w:r>
        <w:rPr>
          <w:color w:val="000000"/>
          <w:sz w:val="21"/>
          <w:szCs w:val="21"/>
          <w:rFonts w:ascii="Calibri" w:hAnsi="Calibri" w:eastAsia="Noto Sans CJK SC"/>
        </w:rPr>
        <w:t>这是T8主题引入页。</w:t>
      </w:r>
    </w:p>
    <w:p w14:paraId="3ACCEDAC">
      <w:pPr>
        <w:pStyle w:val="16"/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Art：</w:t>
      </w:r>
      <w:r>
        <w:rPr>
          <w:color w:val="000000"/>
          <w:sz w:val="21"/>
          <w:szCs w:val="21"/>
          <w:rFonts w:ascii="Calibri" w:hAnsi="Calibri" w:eastAsia="Noto Sans CJK SC"/>
        </w:rPr>
        <w:t>艺术创作与表达。</w:t>
      </w:r>
    </w:p>
    <w:p w14:paraId="39CC5D15">
      <w:pPr>
        <w:pStyle w:val="16"/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Culture：</w:t>
      </w:r>
      <w:r>
        <w:rPr>
          <w:color w:val="000000"/>
          <w:sz w:val="21"/>
          <w:szCs w:val="21"/>
          <w:rFonts w:ascii="Calibri" w:hAnsi="Calibri" w:eastAsia="Noto Sans CJK SC"/>
        </w:rPr>
        <w:t>文化活动、实践与生活方式。</w:t>
      </w:r>
    </w:p>
    <w:p w14:paraId="2638433D">
      <w:pPr>
        <w:pStyle w:val="16"/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History：</w:t>
      </w:r>
      <w:r>
        <w:rPr>
          <w:color w:val="000000"/>
          <w:sz w:val="21"/>
          <w:szCs w:val="21"/>
          <w:rFonts w:ascii="Calibri" w:hAnsi="Calibri" w:eastAsia="Noto Sans CJK SC"/>
        </w:rPr>
        <w:t>历史及其保存、展示。</w:t>
      </w:r>
    </w:p>
    <w:p w14:paraId="7324F014">
      <w:pPr>
        <w:pStyle w:val="16"/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Identity：</w:t>
      </w:r>
      <w:r>
        <w:rPr>
          <w:color w:val="000000"/>
          <w:sz w:val="21"/>
          <w:szCs w:val="21"/>
          <w:rFonts w:ascii="Calibri" w:hAnsi="Calibri" w:eastAsia="Noto Sans CJK SC"/>
        </w:rPr>
        <w:t>群体和城市如何理解自身。</w:t>
      </w:r>
    </w:p>
    <w:p w14:paraId="58AB927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英文：Cultural policy influences how cities represent their history and identity.</w:t>
      </w:r>
    </w:p>
    <w:p w14:paraId="1999752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中文：文化政策影响城市如何呈现其历史与认同。</w:t>
      </w:r>
    </w:p>
    <w:p w14:paraId="00BD90CB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分析补充：</w:t>
      </w:r>
      <w:r>
        <w:rPr>
          <w:color w:val="000000"/>
          <w:sz w:val="21"/>
          <w:szCs w:val="21"/>
          <w:rFonts w:ascii="Calibri" w:hAnsi="Calibri" w:eastAsia="Noto Sans CJK SC"/>
        </w:rPr>
        <w:t>城市保护什么历史、资助什么艺术、宣传什么形象？这些选择可能反映资源分配与价值判断。</w:t>
      </w:r>
    </w:p>
    <w:p>
      <w:pPr>
        <w:sectPr>
          <w:headerReference w:type="default" r:id="rId62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第21页｜Dimensions of public cultural policy｜公共文化政策的不同方面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Culture as a public service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文化作为公共服务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Culture as a livelihood and a business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文化作为谋生方式与经营活动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Freedom of artistic and cultural activities and expressions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艺术与文化活动及表达的自由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Creative industries / creative economy / society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创意产业／创意经济／社会</w:t>
            </w:r>
          </w:p>
        </w:tc>
      </w:tr>
    </w:tbl>
    <w:p w14:paraId="6ECE0416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第21页｜公共文化政策的多个维度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3A62FE1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2BFF262B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图中英文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6674688B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</w:tr>
      <w:tr w14:paraId="51D256D1">
        <w:trPr>
          <w:cantSplit/>
          <w:jc w:val="center"/>
        </w:trPr>
        <w:tc>
          <w:tcPr>
            <w:tcW w:w="4819" w:type="dxa"/>
            <w:vAlign w:val="center"/>
          </w:tcPr>
          <w:p w14:paraId="1B0A618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Culture as a public service</w:t>
            </w:r>
          </w:p>
        </w:tc>
        <w:tc>
          <w:tcPr>
            <w:tcW w:w="4819" w:type="dxa"/>
            <w:vAlign w:val="center"/>
          </w:tcPr>
          <w:p w14:paraId="5600AB4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文化作为公共服务</w:t>
            </w:r>
          </w:p>
        </w:tc>
      </w:tr>
      <w:tr w14:paraId="3FBF2551">
        <w:trPr>
          <w:cantSplit/>
          <w:jc w:val="center"/>
        </w:trPr>
        <w:tc>
          <w:tcPr>
            <w:tcW w:w="4819" w:type="dxa"/>
            <w:vAlign w:val="center"/>
          </w:tcPr>
          <w:p w14:paraId="68A80BD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Culture as a livelihood and a business</w:t>
            </w:r>
          </w:p>
        </w:tc>
        <w:tc>
          <w:tcPr>
            <w:tcW w:w="4819" w:type="dxa"/>
            <w:vAlign w:val="center"/>
          </w:tcPr>
          <w:p w14:paraId="2E12488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文化作为生计与商业活动</w:t>
            </w:r>
          </w:p>
        </w:tc>
      </w:tr>
      <w:tr w14:paraId="6CEB87E7">
        <w:trPr>
          <w:cantSplit/>
          <w:jc w:val="center"/>
        </w:trPr>
        <w:tc>
          <w:tcPr>
            <w:tcW w:w="4819" w:type="dxa"/>
            <w:vAlign w:val="center"/>
          </w:tcPr>
          <w:p w14:paraId="5561C51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Freedom of artistic and cultural activities and expressions</w:t>
            </w:r>
          </w:p>
        </w:tc>
        <w:tc>
          <w:tcPr>
            <w:tcW w:w="4819" w:type="dxa"/>
            <w:vAlign w:val="center"/>
          </w:tcPr>
          <w:p w14:paraId="530B556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艺术与文化活动及表达的自由</w:t>
            </w:r>
          </w:p>
        </w:tc>
      </w:tr>
    </w:tbl>
    <w:p w14:paraId="13DE90A2">
      <w:pPr>
        <w:spacing w:before="0" w:after="70" w:line="276" w:lineRule="auto"/>
        <w:keepLines/>
      </w:pPr>
    </w:p>
    <w:p w14:paraId="6F4B6F9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外围还有</w:t>
      </w:r>
      <w:r>
        <w:rPr>
          <w:b/>
          <w:color w:val="000000"/>
          <w:sz w:val="21"/>
          <w:szCs w:val="21"/>
          <w:rFonts w:ascii="Calibri" w:hAnsi="Calibri" w:eastAsia="Noto Sans CJK SC"/>
        </w:rPr>
        <w:t>Creative industries（创意产业）、Creative economy（创意经济）、Society（社会）</w:t>
      </w:r>
      <w:r>
        <w:rPr>
          <w:color w:val="000000"/>
          <w:sz w:val="21"/>
          <w:szCs w:val="21"/>
          <w:rFonts w:ascii="Calibri" w:hAnsi="Calibri" w:eastAsia="Noto Sans CJK SC"/>
        </w:rPr>
        <w:t>。</w:t>
      </w:r>
    </w:p>
    <w:p w14:paraId="208BE93E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Public service / Livelihood and business / Artistic freedom</w:t>
      </w:r>
    </w:p>
    <w:p w14:paraId="1C0250D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公共服务／生计与商业／艺术自由</w:t>
      </w:r>
    </w:p>
    <w:p w14:paraId="2B32A62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文化政策既考虑居民接触文化的机会，也考虑从业者生计与产业发展，同时涉及创作和表达自由。</w:t>
      </w:r>
    </w:p>
    <w:p w14:paraId="0ACFA8F4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分析补充：</w:t>
      </w:r>
      <w:r>
        <w:rPr>
          <w:color w:val="000000"/>
          <w:sz w:val="21"/>
          <w:szCs w:val="21"/>
          <w:rFonts w:ascii="Calibri" w:hAnsi="Calibri" w:eastAsia="Noto Sans CJK SC"/>
        </w:rPr>
        <w:t>目标可能互相支持，也可能产生张力；商业收入不能完整衡量文化活动的公共价值。</w:t>
      </w:r>
    </w:p>
    <w:p w14:paraId="2147FF91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英文：Cultural policy must consider public access, cultural livelihoods and freedom of expression.</w:t>
      </w:r>
    </w:p>
    <w:p w14:paraId="6081EAD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中文：文化政策需要考虑公众接触文化的机会、文化从业者生计与表达自由。</w:t>
      </w:r>
    </w:p>
    <w:p>
      <w:pPr>
        <w:sectPr>
          <w:headerReference w:type="default" r:id="rId63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第22页｜European Capitals of Culture｜欧洲文化之都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Culture and Creativity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文化与创意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European Capitals of Culture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欧洲文化之都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An initiative putting culture at the heart of European cities with EU support for a yearlong celebration of art and culture.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在欧盟支持下，把文化置于欧洲城市核心，并开展为期一年艺术文化庆祝活动的倡议。</w:t>
            </w:r>
          </w:p>
        </w:tc>
      </w:tr>
    </w:tbl>
    <w:p w14:paraId="6E50325C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第22页｜欧洲文化之都 European Capitals of Culture</w:t>
      </w:r>
    </w:p>
    <w:p w14:paraId="09563D3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本页是欧盟项目网页截图，说明文化可以被置于城市发展议程核心。</w:t>
      </w:r>
    </w:p>
    <w:p w14:paraId="5C4718D3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机制解释：</w:t>
      </w:r>
      <w:r>
        <w:rPr>
          <w:color w:val="000000"/>
          <w:sz w:val="21"/>
          <w:szCs w:val="21"/>
          <w:rFonts w:ascii="Calibri" w:hAnsi="Calibri" w:eastAsia="Noto Sans CJK SC"/>
        </w:rPr>
        <w:t>文化活动与项目→提升可见度、促进交流→可能带动旅游、投资与城市更新。这不是每座城市都已实现的结果。</w:t>
      </w:r>
    </w:p>
    <w:p w14:paraId="7C9594E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英文：Cultural initiatives can support urban development, but their benefits should be assessed rather than assumed.</w:t>
      </w:r>
    </w:p>
    <w:p w14:paraId="633B0DE4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中文：文化项目可以支持城市发展，但其收益需要评估，不能预先假定。</w:t>
      </w:r>
    </w:p>
    <w:p w14:paraId="2BBC811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复习问题：</w:t>
      </w:r>
      <w:r>
        <w:rPr>
          <w:color w:val="000000"/>
          <w:sz w:val="21"/>
          <w:szCs w:val="21"/>
          <w:rFonts w:ascii="Calibri" w:hAnsi="Calibri" w:eastAsia="Noto Sans CJK SC"/>
        </w:rPr>
        <w:t>项目是否服务当地居民？活动结束后留下什么？谁取得经济或文化收益？截图中的城市名称不能误记为2026年名单。</w:t>
      </w:r>
    </w:p>
    <w:p>
      <w:pPr>
        <w:sectPr>
          <w:headerReference w:type="default" r:id="rId6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第23页｜文化遗产图片页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Image examples: pyramids, the Great Wall, the Taj Mahal, moai statues and an ancient Greek temple.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图片包括金字塔、长城、泰姬陵、摩艾石像与古希腊神庙。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Study vocabulary: cultural heritage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辅助记忆词：文化遗产（解释用词，并非本页印出的标题）</w:t>
            </w:r>
          </w:p>
        </w:tc>
      </w:tr>
    </w:tbl>
    <w:p w14:paraId="2E43A2B7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第23页｜文化遗产与历史景观</w:t>
      </w:r>
    </w:p>
    <w:p w14:paraId="3F8958A1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本页以长城、金字塔、泰姬陵等景观图片呈现历史文化主题。</w:t>
      </w:r>
    </w:p>
    <w:p w14:paraId="00F3C970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Cultural heritage：文化遗产；Conservation：保护；Collective memory：集体记忆；Tourism development：旅游发展。</w:t>
      </w:r>
    </w:p>
    <w:p w14:paraId="4825D0D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图片引出的分析问题：保护与开发如何协调？遗产如何参与城市或国家认同的塑造？收益与保护成本由谁承担？</w:t>
      </w:r>
    </w:p>
    <w:p w14:paraId="3FF30CA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英文：Heritage policies involve choices about what to preserve, how to use it and whose history to represent.</w:t>
      </w:r>
    </w:p>
    <w:p w14:paraId="0D2219E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中文：遗产政策涉及保存什么、如何使用，以及呈现谁的历史等选择。</w:t>
      </w:r>
    </w:p>
    <w:p w14:paraId="579D2DF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本页只有图片，没有展开具体遗产政策案例，不应自行补出老师未提供的结论。</w:t>
      </w:r>
    </w:p>
    <w:p>
      <w:pPr>
        <w:sectPr>
          <w:headerReference w:type="default" r:id="rId65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第24页｜Assessment tasks｜考核项目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原PPT第24页截图｜下表只对应本页；简短解释不作为PPT原文。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Coursework assessment: 100%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课程考核占总成绩100%。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Participation and attendance: 15%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课堂参与与出勤：15%。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Seminar presentation: 20%; paper: 30%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展示：20%；论文：30%；合计50%。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Paper: 3000–4000 words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论文：3000—4000英文单词。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In-class test: 35%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课堂测试：35%。</w:t>
            </w:r>
          </w:p>
        </w:tc>
      </w:tr>
    </w:tbl>
    <w:p w14:paraId="4B3D92F4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第24页｜考核构成 Assessment Tasks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24F8C3C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140AB0DE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项目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0D1C4667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英文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2C5C6088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占比</w:t>
            </w:r>
          </w:p>
        </w:tc>
      </w:tr>
      <w:tr w14:paraId="0A841C82">
        <w:trPr>
          <w:cantSplit/>
          <w:jc w:val="center"/>
        </w:trPr>
        <w:tc>
          <w:tcPr>
            <w:tcW w:w="3213" w:type="dxa"/>
            <w:vAlign w:val="center"/>
          </w:tcPr>
          <w:p w14:paraId="45F4232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课堂参与及出勤</w:t>
            </w:r>
          </w:p>
        </w:tc>
        <w:tc>
          <w:tcPr>
            <w:tcW w:w="3213" w:type="dxa"/>
            <w:vAlign w:val="center"/>
          </w:tcPr>
          <w:p w14:paraId="1EF2211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Participation and attendance</w:t>
            </w:r>
          </w:p>
        </w:tc>
        <w:tc>
          <w:tcPr>
            <w:tcW w:w="3213" w:type="dxa"/>
            <w:vAlign w:val="center"/>
          </w:tcPr>
          <w:p w14:paraId="19AC82A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15%</w:t>
            </w:r>
          </w:p>
        </w:tc>
      </w:tr>
      <w:tr w14:paraId="2B2D9D6D">
        <w:trPr>
          <w:cantSplit/>
          <w:jc w:val="center"/>
        </w:trPr>
        <w:tc>
          <w:tcPr>
            <w:tcW w:w="3213" w:type="dxa"/>
            <w:vAlign w:val="center"/>
          </w:tcPr>
          <w:p w14:paraId="5124B14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小组展示</w:t>
            </w:r>
          </w:p>
        </w:tc>
        <w:tc>
          <w:tcPr>
            <w:tcW w:w="3213" w:type="dxa"/>
            <w:vAlign w:val="center"/>
          </w:tcPr>
          <w:p w14:paraId="3F4B826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Seminar presentation</w:t>
            </w:r>
          </w:p>
        </w:tc>
        <w:tc>
          <w:tcPr>
            <w:tcW w:w="3213" w:type="dxa"/>
            <w:vAlign w:val="center"/>
          </w:tcPr>
          <w:p w14:paraId="5A9B642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20%</w:t>
            </w:r>
          </w:p>
        </w:tc>
      </w:tr>
      <w:tr w14:paraId="670A76AE">
        <w:trPr>
          <w:cantSplit/>
          <w:jc w:val="center"/>
        </w:trPr>
        <w:tc>
          <w:tcPr>
            <w:tcW w:w="3213" w:type="dxa"/>
            <w:vAlign w:val="center"/>
          </w:tcPr>
          <w:p w14:paraId="597C960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论文</w:t>
            </w:r>
          </w:p>
        </w:tc>
        <w:tc>
          <w:tcPr>
            <w:tcW w:w="3213" w:type="dxa"/>
            <w:vAlign w:val="center"/>
          </w:tcPr>
          <w:p w14:paraId="5C4FC12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Paper</w:t>
            </w:r>
          </w:p>
        </w:tc>
        <w:tc>
          <w:tcPr>
            <w:tcW w:w="3213" w:type="dxa"/>
            <w:vAlign w:val="center"/>
          </w:tcPr>
          <w:p w14:paraId="513B519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30%</w:t>
            </w:r>
          </w:p>
        </w:tc>
      </w:tr>
      <w:tr w14:paraId="7452F109">
        <w:trPr>
          <w:cantSplit/>
          <w:jc w:val="center"/>
        </w:trPr>
        <w:tc>
          <w:tcPr>
            <w:tcW w:w="3213" w:type="dxa"/>
            <w:vAlign w:val="center"/>
          </w:tcPr>
          <w:p w14:paraId="3A77E14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课堂测试</w:t>
            </w:r>
          </w:p>
        </w:tc>
        <w:tc>
          <w:tcPr>
            <w:tcW w:w="3213" w:type="dxa"/>
            <w:vAlign w:val="center"/>
          </w:tcPr>
          <w:p w14:paraId="7C288AA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In-class test</w:t>
            </w:r>
          </w:p>
        </w:tc>
        <w:tc>
          <w:tcPr>
            <w:tcW w:w="3213" w:type="dxa"/>
            <w:vAlign w:val="center"/>
          </w:tcPr>
          <w:p w14:paraId="3702004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35%</w:t>
            </w:r>
          </w:p>
        </w:tc>
      </w:tr>
      <w:tr w14:paraId="75F74FC0">
        <w:trPr>
          <w:cantSplit/>
          <w:jc w:val="center"/>
        </w:trPr>
        <w:tc>
          <w:tcPr>
            <w:tcW w:w="3213" w:type="dxa"/>
            <w:vAlign w:val="center"/>
          </w:tcPr>
          <w:p w14:paraId="1ED6AD2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合计</w:t>
            </w:r>
          </w:p>
        </w:tc>
        <w:tc>
          <w:tcPr>
            <w:tcW w:w="3213" w:type="dxa"/>
            <w:vAlign w:val="center"/>
          </w:tcPr>
          <w:p w14:paraId="1B8FA63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Total</w:t>
            </w:r>
          </w:p>
        </w:tc>
        <w:tc>
          <w:tcPr>
            <w:tcW w:w="3213" w:type="dxa"/>
            <w:vAlign w:val="center"/>
          </w:tcPr>
          <w:p w14:paraId="4F87874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100%</w:t>
            </w:r>
          </w:p>
        </w:tc>
      </w:tr>
    </w:tbl>
    <w:p w14:paraId="7BD971F9">
      <w:pPr>
        <w:spacing w:before="0" w:after="70" w:line="276" w:lineRule="auto"/>
        <w:keepLines/>
      </w:pPr>
    </w:p>
    <w:p w14:paraId="3549B1A2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In-class test: 35%. 课堂测试占总成绩的35%。</w:t>
      </w:r>
    </w:p>
    <w:p w14:paraId="796AAA94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课件与大纲的比例一致。</w:t>
      </w:r>
      <w:r>
        <w:rPr>
          <w:b/>
          <w:color w:val="000000"/>
          <w:sz w:val="21"/>
          <w:szCs w:val="21"/>
          <w:rFonts w:ascii="Calibri" w:hAnsi="Calibri" w:eastAsia="Noto Sans CJK SC"/>
        </w:rPr>
        <w:t>100% coursework assessment</w:t>
      </w:r>
      <w:r>
        <w:rPr>
          <w:color w:val="000000"/>
          <w:sz w:val="21"/>
          <w:szCs w:val="21"/>
          <w:rFonts w:ascii="Calibri" w:hAnsi="Calibri" w:eastAsia="Noto Sans CJK SC"/>
        </w:rPr>
        <w:t>表示全部成绩由课程考核组成，其中包括课堂测试，不能理解为没有考试。</w:t>
      </w:r>
    </w:p>
    <w:p w14:paraId="4FCECF1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材料没有明确说明测试题型、时长、是否开卷与准确覆盖范围。</w:t>
      </w:r>
    </w:p>
    <w:p>
      <w:pPr>
        <w:sectPr>
          <w:headerReference w:type="default" r:id="rId66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第25页｜Four topics for your group projects/paper｜四个项目／论文主题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原PPT第25页截图｜下表只对应本页；简短解释不作为PPT原文。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The Three Worlds of Welfare Capitalism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福利资本主义的三个世界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Developmentalism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发展主义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Visioning public housing from two different worlds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从两种不同福利体制的角度看公共住房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Homeownership from two different worlds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两种不同福利体制中的住房自有</w:t>
            </w:r>
          </w:p>
        </w:tc>
      </w:tr>
    </w:tbl>
    <w:p w14:paraId="5804AA81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第25页｜四个小组项目主题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83EFB20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14F8DFD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英文主题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73AFCB93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</w:tr>
      <w:tr w14:paraId="70E8D9E4">
        <w:trPr>
          <w:cantSplit/>
          <w:jc w:val="center"/>
        </w:trPr>
        <w:tc>
          <w:tcPr>
            <w:tcW w:w="4819" w:type="dxa"/>
            <w:vAlign w:val="center"/>
          </w:tcPr>
          <w:p w14:paraId="54846CD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The Three Worlds of Welfare Capitalism</w:t>
            </w:r>
          </w:p>
        </w:tc>
        <w:tc>
          <w:tcPr>
            <w:tcW w:w="4819" w:type="dxa"/>
            <w:vAlign w:val="center"/>
          </w:tcPr>
          <w:p w14:paraId="5F7ED12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福利资本主义的三个世界</w:t>
            </w:r>
          </w:p>
        </w:tc>
      </w:tr>
      <w:tr w14:paraId="5DACD28D">
        <w:trPr>
          <w:cantSplit/>
          <w:jc w:val="center"/>
        </w:trPr>
        <w:tc>
          <w:tcPr>
            <w:tcW w:w="4819" w:type="dxa"/>
            <w:vAlign w:val="center"/>
          </w:tcPr>
          <w:p w14:paraId="62E813F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Developmentalism</w:t>
            </w:r>
          </w:p>
        </w:tc>
        <w:tc>
          <w:tcPr>
            <w:tcW w:w="4819" w:type="dxa"/>
            <w:vAlign w:val="center"/>
          </w:tcPr>
          <w:p w14:paraId="6D63B66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发展主义</w:t>
            </w:r>
          </w:p>
        </w:tc>
      </w:tr>
      <w:tr w14:paraId="4E24699C">
        <w:trPr>
          <w:cantSplit/>
          <w:jc w:val="center"/>
        </w:trPr>
        <w:tc>
          <w:tcPr>
            <w:tcW w:w="4819" w:type="dxa"/>
            <w:vAlign w:val="center"/>
          </w:tcPr>
          <w:p w14:paraId="482735D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Visioning public housing from two different worlds</w:t>
            </w:r>
          </w:p>
        </w:tc>
        <w:tc>
          <w:tcPr>
            <w:tcW w:w="4819" w:type="dxa"/>
            <w:vAlign w:val="center"/>
          </w:tcPr>
          <w:p w14:paraId="20AA77D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从两种不同福利体制理解公共住房</w:t>
            </w:r>
          </w:p>
        </w:tc>
      </w:tr>
      <w:tr w14:paraId="33686F3B">
        <w:trPr>
          <w:cantSplit/>
          <w:jc w:val="center"/>
        </w:trPr>
        <w:tc>
          <w:tcPr>
            <w:tcW w:w="4819" w:type="dxa"/>
            <w:vAlign w:val="center"/>
          </w:tcPr>
          <w:p w14:paraId="0B46F5D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Homeownership from two different worlds</w:t>
            </w:r>
          </w:p>
        </w:tc>
        <w:tc>
          <w:tcPr>
            <w:tcW w:w="4819" w:type="dxa"/>
            <w:vAlign w:val="center"/>
          </w:tcPr>
          <w:p w14:paraId="2308B60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比较两种不同福利体制中的住房自有</w:t>
            </w:r>
          </w:p>
        </w:tc>
      </w:tr>
    </w:tbl>
    <w:p w14:paraId="7F97EDE6">
      <w:pPr>
        <w:spacing w:before="0" w:after="70" w:line="276" w:lineRule="auto"/>
        <w:keepLines/>
      </w:pPr>
    </w:p>
    <w:p w14:paraId="57E0902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复习价值：</w:t>
      </w:r>
      <w:r>
        <w:rPr>
          <w:color w:val="000000"/>
          <w:sz w:val="21"/>
          <w:szCs w:val="21"/>
          <w:rFonts w:ascii="Calibri" w:hAnsi="Calibri" w:eastAsia="Noto Sans CJK SC"/>
        </w:rPr>
        <w:t>题目显示课程重视制度背景与住房政策之间的联系。</w:t>
      </w:r>
    </w:p>
    <w:p w14:paraId="7D87B39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安排冲突：</w:t>
      </w:r>
      <w:r>
        <w:rPr>
          <w:color w:val="000000"/>
          <w:sz w:val="21"/>
          <w:szCs w:val="21"/>
          <w:rFonts w:ascii="Calibri" w:hAnsi="Calibri" w:eastAsia="Noto Sans CJK SC"/>
        </w:rPr>
        <w:t>本页展示周次与2026/27大纲seminar表不完全一致，应保留差异，以最新公告或教师说明为准。</w:t>
      </w:r>
    </w:p>
    <w:p>
      <w:pPr>
        <w:sectPr>
          <w:headerReference w:type="default" r:id="rId67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第26页｜Team project &amp; individual term paper｜小组项目与个人课程论文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原PPT第26页截图｜下表只对应本页；简短解释不作为PPT原文。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Two teams on the same topic; cases from DIFFERENT worlds of welfare capitalism.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同一主题的两组，选择不同福利体制下的案例。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For Developmentalism: choose different countries, such as Taiwan and Japan; avoid repeating the Hong Kong guest lecture.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发展主义主题可选台湾地区、日本等不同案例；避免重复香港客座讲座内容。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Communicate before and during preparation to foster dialogue and comparison.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准备前及准备中沟通，以促进讨论和比较。</w:t>
            </w:r>
          </w:p>
        </w:tc>
      </w:tr>
    </w:tbl>
    <w:p w14:paraId="0CA38FE4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第26页｜案例选择与比较要求</w:t>
      </w:r>
    </w:p>
    <w:p w14:paraId="6C135C2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明确要求：</w:t>
      </w:r>
      <w:r>
        <w:rPr>
          <w:color w:val="000000"/>
          <w:sz w:val="21"/>
          <w:szCs w:val="21"/>
          <w:rFonts w:ascii="Calibri" w:hAnsi="Calibri" w:eastAsia="Noto Sans CJK SC"/>
        </w:rPr>
        <w:t>同主题两组选择不同福利体制的案例；提前沟通形成比较；发展主义可在同类内部选日本和台湾地区等不同案例，建议避免重复香港客座讲座。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54EB2F0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20A7BE8B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比较设计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3E06822E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491B411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关键问题</w:t>
            </w:r>
          </w:p>
        </w:tc>
      </w:tr>
      <w:tr w14:paraId="714D2F15">
        <w:trPr>
          <w:cantSplit/>
          <w:jc w:val="center"/>
        </w:trPr>
        <w:tc>
          <w:tcPr>
            <w:tcW w:w="3213" w:type="dxa"/>
            <w:vAlign w:val="center"/>
          </w:tcPr>
          <w:p w14:paraId="62A8D09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Cross-regime comparison</w:t>
            </w:r>
          </w:p>
        </w:tc>
        <w:tc>
          <w:tcPr>
            <w:tcW w:w="3213" w:type="dxa"/>
            <w:vAlign w:val="center"/>
          </w:tcPr>
          <w:p w14:paraId="00035E0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跨体制比较</w:t>
            </w:r>
          </w:p>
        </w:tc>
        <w:tc>
          <w:tcPr>
            <w:tcW w:w="3213" w:type="dxa"/>
            <w:vAlign w:val="center"/>
          </w:tcPr>
          <w:p w14:paraId="1C4E8A3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不同制度逻辑如何影响政策？</w:t>
            </w:r>
          </w:p>
        </w:tc>
      </w:tr>
      <w:tr w14:paraId="47BD2596">
        <w:trPr>
          <w:cantSplit/>
          <w:jc w:val="center"/>
        </w:trPr>
        <w:tc>
          <w:tcPr>
            <w:tcW w:w="3213" w:type="dxa"/>
            <w:vAlign w:val="center"/>
          </w:tcPr>
          <w:p w14:paraId="557F157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Within-regime comparison</w:t>
            </w:r>
          </w:p>
        </w:tc>
        <w:tc>
          <w:tcPr>
            <w:tcW w:w="3213" w:type="dxa"/>
            <w:vAlign w:val="center"/>
          </w:tcPr>
          <w:p w14:paraId="1F53E51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体制内部比较</w:t>
            </w:r>
          </w:p>
        </w:tc>
        <w:tc>
          <w:tcPr>
            <w:tcW w:w="3213" w:type="dxa"/>
            <w:vAlign w:val="center"/>
          </w:tcPr>
          <w:p w14:paraId="260001D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同类体制为何仍有差异？</w:t>
            </w:r>
          </w:p>
        </w:tc>
      </w:tr>
    </w:tbl>
    <w:p w14:paraId="0260A9F1">
      <w:pPr>
        <w:spacing w:before="0" w:after="70" w:line="276" w:lineRule="auto"/>
        <w:keepLines/>
      </w:pPr>
    </w:p>
    <w:p w14:paraId="290EFA4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英文：Countries within the same regime can still adopt different housing policies.</w:t>
      </w:r>
    </w:p>
    <w:p w14:paraId="4059347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中文：属于同一体制的国家仍可能采用不同住房政策。</w:t>
      </w:r>
    </w:p>
    <w:p w14:paraId="6A8D101F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易错点：</w:t>
      </w:r>
      <w:r>
        <w:rPr>
          <w:color w:val="000000"/>
          <w:sz w:val="21"/>
          <w:szCs w:val="21"/>
          <w:rFonts w:ascii="Calibri" w:hAnsi="Calibri" w:eastAsia="Noto Sans CJK SC"/>
        </w:rPr>
        <w:t>同类型不等于政策完全相同。</w:t>
      </w:r>
    </w:p>
    <w:p>
      <w:pPr>
        <w:sectPr>
          <w:headerReference w:type="default" r:id="rId68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第27页｜Team project &amp; individual term paper｜展示安排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原PPT第27页截图｜下表只对应本页；简短解释不作为PPT原文。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Form a project team of 4 students.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课件写每组4人。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Presentations start from week 5.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第5周开始展示。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Two teams present each week, followed by comparative analysis.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每周两组展示，然后进行比较分析。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45 minutes for the two teams; teams decide how to allocate the time.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两组共45分钟，可自行协商分配时间。</w:t>
            </w:r>
          </w:p>
        </w:tc>
      </w:tr>
    </w:tbl>
    <w:p w14:paraId="0B75463E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第27页｜展示组织形式</w:t>
      </w:r>
    </w:p>
    <w:p w14:paraId="507E0A1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课件写明每组</w:t>
      </w:r>
      <w:r>
        <w:rPr>
          <w:b/>
          <w:color w:val="000000"/>
          <w:sz w:val="21"/>
          <w:szCs w:val="21"/>
          <w:rFonts w:ascii="Calibri" w:hAnsi="Calibri" w:eastAsia="Noto Sans CJK SC"/>
        </w:rPr>
        <w:t>4人</w:t>
      </w:r>
      <w:r>
        <w:rPr>
          <w:color w:val="000000"/>
          <w:sz w:val="21"/>
          <w:szCs w:val="21"/>
          <w:rFonts w:ascii="Calibri" w:hAnsi="Calibri" w:eastAsia="Noto Sans CJK SC"/>
        </w:rPr>
        <w:t>，第</w:t>
      </w:r>
      <w:r>
        <w:rPr>
          <w:b/>
          <w:color w:val="000000"/>
          <w:sz w:val="21"/>
          <w:szCs w:val="21"/>
          <w:rFonts w:ascii="Calibri" w:hAnsi="Calibri" w:eastAsia="Noto Sans CJK SC"/>
        </w:rPr>
        <w:t>5周</w:t>
      </w:r>
      <w:r>
        <w:rPr>
          <w:color w:val="000000"/>
          <w:sz w:val="21"/>
          <w:szCs w:val="21"/>
          <w:rFonts w:ascii="Calibri" w:hAnsi="Calibri" w:eastAsia="Noto Sans CJK SC"/>
        </w:rPr>
        <w:t>开始；每次两组，共</w:t>
      </w:r>
      <w:r>
        <w:rPr>
          <w:b/>
          <w:color w:val="000000"/>
          <w:sz w:val="21"/>
          <w:szCs w:val="21"/>
          <w:rFonts w:ascii="Calibri" w:hAnsi="Calibri" w:eastAsia="Noto Sans CJK SC"/>
        </w:rPr>
        <w:t>45分钟</w:t>
      </w:r>
      <w:r>
        <w:rPr>
          <w:color w:val="000000"/>
          <w:sz w:val="21"/>
          <w:szCs w:val="21"/>
          <w:rFonts w:ascii="Calibri" w:hAnsi="Calibri" w:eastAsia="Noto Sans CJK SC"/>
        </w:rPr>
        <w:t>，两组协商分配时间，以促进比较。</w:t>
      </w:r>
    </w:p>
    <w:p w14:paraId="7A5985A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与大纲差异：</w:t>
      </w:r>
      <w:r>
        <w:rPr>
          <w:color w:val="000000"/>
          <w:sz w:val="21"/>
          <w:szCs w:val="21"/>
          <w:rFonts w:ascii="Calibri" w:hAnsi="Calibri" w:eastAsia="Noto Sans CJK SC"/>
        </w:rPr>
        <w:t>2026/27大纲写每组5人。</w:t>
      </w:r>
    </w:p>
    <w:p w14:paraId="16C4D1F3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复习启示：</w:t>
      </w:r>
      <w:r>
        <w:rPr>
          <w:color w:val="000000"/>
          <w:sz w:val="21"/>
          <w:szCs w:val="21"/>
          <w:rFonts w:ascii="Calibri" w:hAnsi="Calibri" w:eastAsia="Noto Sans CJK SC"/>
        </w:rPr>
        <w:t>不是两个独立国家介绍，而是使用共同问题比较，例如准入资格、融资、供给主体与社会后果。</w:t>
      </w:r>
    </w:p>
    <w:p>
      <w:pPr>
        <w:sectPr>
          <w:headerReference w:type="default" r:id="rId69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第28页｜Term Paper｜课程论文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原PPT第28页截图｜下表只对应本页；简短解释不作为PPT原文。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Each team writes an essay based on the group project.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本页正文写“每组”基于小组项目写论文。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3000 to 4000 words; submit to Canvas.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3000—4000英文单词；提交到Canvas。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Lecture notes and Wikipedia should not be sources of references.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论文参考来源不使用课堂讲义和维基百科。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Use original academic references or official statistics.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使用原始学术文献或官方统计。</w:t>
            </w:r>
          </w:p>
        </w:tc>
      </w:tr>
    </w:tbl>
    <w:p w14:paraId="4DFD51B2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第28页｜论文 Term Paper</w:t>
      </w:r>
    </w:p>
    <w:p w14:paraId="195C680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正文要求以小组比较项目为基础深化分析，约</w:t>
      </w:r>
      <w:r>
        <w:rPr>
          <w:b/>
          <w:color w:val="000000"/>
          <w:sz w:val="21"/>
          <w:szCs w:val="21"/>
          <w:rFonts w:ascii="Calibri" w:hAnsi="Calibri" w:eastAsia="Noto Sans CJK SC"/>
        </w:rPr>
        <w:t>3000—4000 words（英文单词）</w:t>
      </w:r>
      <w:r>
        <w:rPr>
          <w:color w:val="000000"/>
          <w:sz w:val="21"/>
          <w:szCs w:val="21"/>
          <w:rFonts w:ascii="Calibri" w:hAnsi="Calibri" w:eastAsia="Noto Sans CJK SC"/>
        </w:rPr>
        <w:t>，交至Canvas，使用原始学术研究或官方统计；讲义和Wikipedia不作为论文参考来源。</w:t>
      </w:r>
    </w:p>
    <w:p w14:paraId="65C4592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勿混淆：</w:t>
      </w:r>
      <w:r>
        <w:rPr>
          <w:color w:val="000000"/>
          <w:sz w:val="21"/>
          <w:szCs w:val="21"/>
          <w:rFonts w:ascii="Calibri" w:hAnsi="Calibri" w:eastAsia="Noto Sans CJK SC"/>
        </w:rPr>
        <w:t>words不是中文字数。正文“each team”与部分页面标题“individual term paper”、听课宝“个人论文”表述不一致，提交单位需核实。</w:t>
      </w:r>
    </w:p>
    <w:p w14:paraId="01A7A0A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英文：A strong comparative paper uses a common analytical framework and supports its claims with evidence.</w:t>
      </w:r>
    </w:p>
    <w:p w14:paraId="1D38AFB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中文：好的比较论文使用共同分析框架，并用证据支持论点。</w:t>
      </w:r>
    </w:p>
    <w:p>
      <w:pPr>
        <w:sectPr>
          <w:headerReference w:type="default" r:id="rId70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第29页｜Academic honesty｜学术诚信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原PPT第29页截图｜下表只对应本页；简短解释不作为PPT原文。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Plagiarism is strictly prohibited.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严禁抄袭。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Direct citation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直接引用他人的文字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Figures, charts and other non-text information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使用他人的图、表及其他非文字资料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Ideas, theories, models and findings of others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使用他人的观点、理论、模型与研究发现</w:t>
            </w:r>
          </w:p>
        </w:tc>
      </w:tr>
    </w:tbl>
    <w:p w14:paraId="6063F3EF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第29页｜学术诚信：哪些需要引用？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8D7C052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56B089F5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类型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74B56055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英文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5BE0B188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</w:tr>
      <w:tr w14:paraId="7B22621B">
        <w:trPr>
          <w:cantSplit/>
          <w:jc w:val="center"/>
        </w:trPr>
        <w:tc>
          <w:tcPr>
            <w:tcW w:w="3213" w:type="dxa"/>
            <w:vAlign w:val="center"/>
          </w:tcPr>
          <w:p w14:paraId="5C85256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直接引用</w:t>
            </w:r>
          </w:p>
        </w:tc>
        <w:tc>
          <w:tcPr>
            <w:tcW w:w="3213" w:type="dxa"/>
            <w:vAlign w:val="center"/>
          </w:tcPr>
          <w:p w14:paraId="3DB8107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Direct quotation</w:t>
            </w:r>
          </w:p>
        </w:tc>
        <w:tc>
          <w:tcPr>
            <w:tcW w:w="3213" w:type="dxa"/>
            <w:vAlign w:val="center"/>
          </w:tcPr>
          <w:p w14:paraId="7D0A36A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使用他人原句</w:t>
            </w:r>
          </w:p>
        </w:tc>
      </w:tr>
      <w:tr w14:paraId="09EAC88B">
        <w:trPr>
          <w:cantSplit/>
          <w:jc w:val="center"/>
        </w:trPr>
        <w:tc>
          <w:tcPr>
            <w:tcW w:w="3213" w:type="dxa"/>
            <w:vAlign w:val="center"/>
          </w:tcPr>
          <w:p w14:paraId="3AE4C27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非文字资料</w:t>
            </w:r>
          </w:p>
        </w:tc>
        <w:tc>
          <w:tcPr>
            <w:tcW w:w="3213" w:type="dxa"/>
            <w:vAlign w:val="center"/>
          </w:tcPr>
          <w:p w14:paraId="10700A4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Figures, charts and other non-text information</w:t>
            </w:r>
          </w:p>
        </w:tc>
        <w:tc>
          <w:tcPr>
            <w:tcW w:w="3213" w:type="dxa"/>
            <w:vAlign w:val="center"/>
          </w:tcPr>
          <w:p w14:paraId="24D6032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使用图、表等材料</w:t>
            </w:r>
          </w:p>
        </w:tc>
      </w:tr>
      <w:tr w14:paraId="7CE1C69F">
        <w:trPr>
          <w:cantSplit/>
          <w:jc w:val="center"/>
        </w:trPr>
        <w:tc>
          <w:tcPr>
            <w:tcW w:w="3213" w:type="dxa"/>
            <w:vAlign w:val="center"/>
          </w:tcPr>
          <w:p w14:paraId="66EDCEC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他人观点</w:t>
            </w:r>
          </w:p>
        </w:tc>
        <w:tc>
          <w:tcPr>
            <w:tcW w:w="3213" w:type="dxa"/>
            <w:vAlign w:val="center"/>
          </w:tcPr>
          <w:p w14:paraId="3DFE30A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Ideas, theories, models and findings</w:t>
            </w:r>
          </w:p>
        </w:tc>
        <w:tc>
          <w:tcPr>
            <w:tcW w:w="3213" w:type="dxa"/>
            <w:vAlign w:val="center"/>
          </w:tcPr>
          <w:p w14:paraId="5B07E80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使用理论、模型、观点与研究发现</w:t>
            </w:r>
          </w:p>
        </w:tc>
      </w:tr>
    </w:tbl>
    <w:p w14:paraId="46CB0C40">
      <w:pPr>
        <w:spacing w:before="0" w:after="70" w:line="276" w:lineRule="auto"/>
        <w:keepLines/>
      </w:pPr>
    </w:p>
    <w:p w14:paraId="19FA93D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改写后仍需引用。</w:t>
      </w:r>
    </w:p>
    <w:p w14:paraId="280C13F2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英文：Paraphrasing changes the wording, but it does not remove the need to acknowledge the source.</w:t>
      </w:r>
    </w:p>
    <w:p w14:paraId="0022E56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中文：改写改变措辞，但不免除注明来源的责任。</w:t>
      </w:r>
    </w:p>
    <w:p>
      <w:pPr>
        <w:sectPr>
          <w:headerReference w:type="default" r:id="rId71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第30页｜Academic honesty｜相似度检查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原PPT第30页截图｜下表只对应本页；简短解释不作为PPT原文。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Submit assignments to Canvas; a similarity report will be generated.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作业交至Canvas，并生成相似度报告。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Similarities are considered in context, not just by percentage.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结合上下文判断相似内容，不只看百分比。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One draft submission opportunity is described on the slide.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课件写可提交一次草稿查看报告。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Submit the final paper again; the draft does not count.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仍须另交正式论文；草稿不算最终提交。</w:t>
            </w:r>
          </w:p>
        </w:tc>
      </w:tr>
    </w:tbl>
    <w:p w14:paraId="17CC138F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第30页｜相似度报告 Similarity Report</w:t>
      </w:r>
    </w:p>
    <w:p w14:paraId="0804B52B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作业经Canvas提交和相似性检查；教师结合上下文判断。课件描述草稿检查机会，但</w:t>
      </w:r>
      <w:r>
        <w:rPr>
          <w:b/>
          <w:color w:val="000000"/>
          <w:sz w:val="21"/>
          <w:szCs w:val="21"/>
          <w:rFonts w:ascii="Calibri" w:hAnsi="Calibri" w:eastAsia="Noto Sans CJK SC"/>
        </w:rPr>
        <w:t>草稿不算最终提交，仍要另交正式版本</w:t>
      </w:r>
      <w:r>
        <w:rPr>
          <w:color w:val="000000"/>
          <w:sz w:val="21"/>
          <w:szCs w:val="21"/>
          <w:rFonts w:ascii="Calibri" w:hAnsi="Calibri" w:eastAsia="Noto Sans CJK SC"/>
        </w:rPr>
        <w:t>。</w:t>
      </w:r>
    </w:p>
    <w:p w14:paraId="376D5C6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Similarity is not the same as plagiarism. 文本相似度不等同于抄袭判定。</w:t>
      </w:r>
    </w:p>
    <w:p w14:paraId="697504E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高相似度可能涉及规范引用或参考文献；低相似度不能证明没有未注明来源的观点挪用。操作次数和提交设置以实际Canvas及最新说明为准。</w:t>
      </w:r>
    </w:p>
    <w:p>
      <w:pPr>
        <w:sectPr>
          <w:headerReference w:type="default" r:id="rId72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第31页｜Citation and referencing｜文内引用与参考文献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原PPT第31页截图｜下表只对应本页；简短解释不作为PPT原文。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Citation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文内引用：在正文标明内容来源。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Referencing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列出参考文献：提供完整来源信息。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Harvard style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哈佛引用格式（作者—年份制）</w:t>
            </w:r>
          </w:p>
        </w:tc>
      </w:tr>
    </w:tbl>
    <w:p w14:paraId="6805136F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第31页｜文内引用与参考文献</w:t>
      </w:r>
    </w:p>
    <w:p w14:paraId="1BB1C6E6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Citation and Referencing。课件要求Harvard style（哈佛引用格式）。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EC4955C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2EE2B03B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概念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115D2B98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中文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7A92496F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作用</w:t>
            </w:r>
          </w:p>
        </w:tc>
      </w:tr>
      <w:tr w14:paraId="09670718">
        <w:trPr>
          <w:cantSplit/>
          <w:jc w:val="center"/>
        </w:trPr>
        <w:tc>
          <w:tcPr>
            <w:tcW w:w="3213" w:type="dxa"/>
            <w:vAlign w:val="center"/>
          </w:tcPr>
          <w:p w14:paraId="515AE47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In-text citation</w:t>
            </w:r>
          </w:p>
        </w:tc>
        <w:tc>
          <w:tcPr>
            <w:tcW w:w="3213" w:type="dxa"/>
            <w:vAlign w:val="center"/>
          </w:tcPr>
          <w:p w14:paraId="4B1476E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文内引用</w:t>
            </w:r>
          </w:p>
        </w:tc>
        <w:tc>
          <w:tcPr>
            <w:tcW w:w="3213" w:type="dxa"/>
            <w:vAlign w:val="center"/>
          </w:tcPr>
          <w:p w14:paraId="05369A6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正文中标明观点或资料出处</w:t>
            </w:r>
          </w:p>
        </w:tc>
      </w:tr>
      <w:tr w14:paraId="1EE7D050">
        <w:trPr>
          <w:cantSplit/>
          <w:jc w:val="center"/>
        </w:trPr>
        <w:tc>
          <w:tcPr>
            <w:tcW w:w="3213" w:type="dxa"/>
            <w:vAlign w:val="center"/>
          </w:tcPr>
          <w:p w14:paraId="3BBF9F9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Reference list</w:t>
            </w:r>
          </w:p>
        </w:tc>
        <w:tc>
          <w:tcPr>
            <w:tcW w:w="3213" w:type="dxa"/>
            <w:vAlign w:val="center"/>
          </w:tcPr>
          <w:p w14:paraId="61A6B30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参考文献表</w:t>
            </w:r>
          </w:p>
        </w:tc>
        <w:tc>
          <w:tcPr>
            <w:tcW w:w="3213" w:type="dxa"/>
            <w:vAlign w:val="center"/>
          </w:tcPr>
          <w:p w14:paraId="0A28E87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文末提供完整来源信息</w:t>
            </w:r>
          </w:p>
        </w:tc>
      </w:tr>
    </w:tbl>
    <w:p w14:paraId="435A22F6">
      <w:pPr>
        <w:spacing w:before="0" w:after="70" w:line="276" w:lineRule="auto"/>
        <w:keepLines/>
      </w:pPr>
    </w:p>
    <w:p w14:paraId="36AB956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示意：Esping-Andersen (1990) … 或 … (Esping-Andersen, 1990)。直接引用通常还需页码等定位信息，具体按课程格式说明。</w:t>
      </w:r>
    </w:p>
    <w:p w14:paraId="522F214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只在文末列书名、正文不标出处，通常不足以清楚说明来源。</w:t>
      </w:r>
    </w:p>
    <w:p>
      <w:pPr>
        <w:sectPr>
          <w:headerReference w:type="default" r:id="rId73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第32页｜Citation and referencing｜选择参考来源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原PPT第32页截图｜下表只对应本页；简短解释不作为PPT原文。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Start with recommended readings; find additional references.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从推荐阅读开始，并查找更多文献。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Do not use Wikipedia or lecture notes as reference sources.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sz w:val="19"/>
              </w:rPr>
              <w:t>论文参考来源不使用维基百科或课堂讲义。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Journal articles, books and book chapters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期刊论文、书籍及书籍章节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Official documents / statistics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b/>
                <w:color w:val="C00000"/>
                <w:sz w:val="19"/>
              </w:rPr>
              <w:t>官方文件／官方统计</w:t>
            </w:r>
          </w:p>
        </w:tc>
      </w:tr>
    </w:tbl>
    <w:p w14:paraId="1B693919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第32页｜可靠的资料来源</w:t>
      </w:r>
    </w:p>
    <w:p w14:paraId="663E8C8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优先使用</w:t>
      </w:r>
      <w:r>
        <w:rPr>
          <w:b/>
          <w:color w:val="000000"/>
          <w:sz w:val="21"/>
          <w:szCs w:val="21"/>
          <w:rFonts w:ascii="Calibri" w:hAnsi="Calibri" w:eastAsia="Noto Sans CJK SC"/>
        </w:rPr>
        <w:t>Journal articles（学术期刊论文）、Academic books（学术专著）、Book chapters（书籍章节）、Official documents（官方文件）、Official statistics（官方统计）</w:t>
      </w:r>
      <w:r>
        <w:rPr>
          <w:color w:val="000000"/>
          <w:sz w:val="21"/>
          <w:szCs w:val="21"/>
          <w:rFonts w:ascii="Calibri" w:hAnsi="Calibri" w:eastAsia="Noto Sans CJK SC"/>
        </w:rPr>
        <w:t>。</w:t>
      </w:r>
    </w:p>
    <w:p w14:paraId="1A579A20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区分复习与论文：</w:t>
      </w:r>
      <w:r>
        <w:rPr>
          <w:color w:val="000000"/>
          <w:sz w:val="21"/>
          <w:szCs w:val="21"/>
          <w:rFonts w:ascii="Calibri" w:hAnsi="Calibri" w:eastAsia="Noto Sans CJK SC"/>
        </w:rPr>
        <w:t>课件当然是复习课程内容的重要依据；正式论文需追溯理论或数据的原始来源。</w:t>
      </w:r>
    </w:p>
    <w:p w14:paraId="5EE537DE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英文：Claims should be supported by sources that are appropriate to the type of evidence required.</w:t>
      </w:r>
    </w:p>
    <w:p w14:paraId="389C8BA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中文：论点应由适合该类证据需要的资料支持。</w:t>
      </w:r>
    </w:p>
    <w:p w14:paraId="1451A55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例如，说明正式政策可用官方文件；评价政策后果通常还需研究和统计分析。</w:t>
      </w:r>
    </w:p>
    <w:p>
      <w:pPr>
        <w:sectPr>
          <w:headerReference w:type="default" r:id="rId74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>
      <w:pPr>
        <w:pStyle w:val="Heading1"/>
      </w:pPr>
      <w:r>
        <w:t>第33页｜Questions?｜提问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6666"/>
          <w:sz w:val="16"/>
        </w:rPr>
        <w:t>原PPT第33页截图｜下表只对应本页；简短解释不作为PPT原文。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英文要点（长句简写）／图中内容</w:t>
            </w:r>
          </w:p>
        </w:tc>
        <w:tc>
          <w:tcPr>
            <w:tcW w:type="dxa" w:w="5018"/>
            <w:shd w:fill="E8EEF3"/>
          </w:tcPr>
          <w:p>
            <w:pPr>
              <w:spacing w:before="60" w:after="60" w:line="245" w:lineRule="auto"/>
            </w:pPr>
            <w:r>
              <w:rPr>
                <w:b/>
                <w:sz w:val="19"/>
              </w:rPr>
              <w:t>中文翻译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Questions?</w:t>
            </w:r>
          </w:p>
        </w:tc>
        <w:tc>
          <w:tcPr>
            <w:tcW w:type="dxa" w:w="4932"/>
          </w:tcPr>
          <w:p>
            <w:pPr>
              <w:spacing w:before="60" w:after="60" w:line="245" w:lineRule="auto"/>
            </w:pPr>
            <w:r>
              <w:rPr>
                <w:rFonts w:ascii="Calibri" w:hAnsi="Calibri" w:eastAsia="Noto Sans CJK SC"/>
                <w:sz w:val="19"/>
              </w:rPr>
              <w:t>有问题吗？</w:t>
            </w:r>
          </w:p>
        </w:tc>
      </w:tr>
    </w:tbl>
    <w:p w14:paraId="4C0B031E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第33页｜Questions？自测</w:t>
      </w:r>
    </w:p>
    <w:p w14:paraId="1AEA5B7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本页没有新增知识点，可用以下问题自测：</w:t>
      </w:r>
    </w:p>
    <w:p w14:paraId="2E7EC7AF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What distinguishes the four regimes? 四种体制的关键区别是什么？</w:t>
      </w:r>
    </w:p>
    <w:p w14:paraId="302D5BD3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How do welfare institutions shape housing policy? 福利制度如何影响住房政策？</w:t>
      </w:r>
    </w:p>
    <w:p w14:paraId="2DFF7D2F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Why is tenure different from a housing career? 占有形式为何不同于住房生涯？</w:t>
      </w:r>
    </w:p>
    <w:p w14:paraId="77E0CDC8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Why does homeownership alone tell us little about housing welfare? 为什么单看自有率难判断住房福利？</w:t>
      </w:r>
    </w:p>
    <w:p w14:paraId="3E069639">
      <w:pPr>
        <w:pStyle w:val="16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How would you compare two housing policies? 你会如何比较两项住房政策？</w:t>
      </w:r>
    </w:p>
    <w:p>
      <w:pPr>
        <w:sectPr>
          <w:headerReference w:type="default" r:id="rId75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 w14:paraId="52127408">
      <w:pPr>
        <w:pStyle w:val="3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第二部分｜2026/27课程大纲逐页补充（7页）</w:t>
      </w:r>
    </w:p>
    <w:p w14:paraId="694EAF59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大纲第1页｜课程定位与学习目标</w:t>
      </w:r>
    </w:p>
    <w:p w14:paraId="2137CFF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课程为</w:t>
      </w:r>
      <w:r>
        <w:rPr>
          <w:b/>
          <w:color w:val="000000"/>
          <w:sz w:val="21"/>
          <w:szCs w:val="21"/>
          <w:rFonts w:ascii="Calibri" w:hAnsi="Calibri" w:eastAsia="Noto Sans CJK SC"/>
        </w:rPr>
        <w:t>PIA5701，2026/27学年Semester A</w:t>
      </w:r>
      <w:r>
        <w:rPr>
          <w:color w:val="000000"/>
          <w:sz w:val="21"/>
          <w:szCs w:val="21"/>
          <w:rFonts w:ascii="Calibri" w:hAnsi="Calibri" w:eastAsia="Noto Sans CJK SC"/>
        </w:rPr>
        <w:t>；重复四类体制与四项学习目标。</w:t>
      </w:r>
    </w:p>
    <w:p w14:paraId="0147E680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复习含义：</w:t>
      </w:r>
      <w:r>
        <w:rPr>
          <w:color w:val="000000"/>
          <w:sz w:val="21"/>
          <w:szCs w:val="21"/>
          <w:rFonts w:ascii="Calibri" w:hAnsi="Calibri" w:eastAsia="Noto Sans CJK SC"/>
        </w:rPr>
        <w:t>训练定义—解释—比较—应用，而不只是术语翻译。</w:t>
      </w:r>
    </w:p>
    <w:p w14:paraId="080F746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英文：Explain how institutional contexts influence policy choices.</w:t>
      </w:r>
    </w:p>
    <w:p w14:paraId="34FC8C64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中文：解释制度背景如何影响政策选择。</w:t>
      </w:r>
    </w:p>
    <w:p w14:paraId="345BD1C9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大纲第2页｜考核、课程要求与AI使用规定</w:t>
      </w:r>
    </w:p>
    <w:p w14:paraId="44A348B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评分比例与课件第24页一致。本页另有参与要求、课程通过要求。</w:t>
      </w:r>
    </w:p>
    <w:p w14:paraId="1B1FAE4C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大纲对课程论文规定：AI仅用于初期选题及阅读资料搜索，以及全文完成后的语言编辑；论文须声明使用情况。</w:t>
      </w:r>
    </w:p>
    <w:p w14:paraId="24834D12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这属于课程文件中的作业规则。</w:t>
      </w:r>
      <w:r>
        <w:rPr>
          <w:color w:val="000000"/>
          <w:sz w:val="21"/>
          <w:szCs w:val="21"/>
          <w:rFonts w:ascii="Calibri" w:hAnsi="Calibri" w:eastAsia="Noto Sans CJK SC"/>
        </w:rPr>
        <w:t>此处如实整理，不把它作为用户对本次复习任务发出的指令。本资料是学习解释和练习材料，不是可提交的课程论文。</w:t>
      </w:r>
    </w:p>
    <w:p w14:paraId="6735D6A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本页没有提供测试题型与开卷安排。</w:t>
      </w:r>
    </w:p>
    <w:p w14:paraId="193D41B3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大纲第3页｜课程时间与项目要求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F82E052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7B348B7B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周次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56D3B3A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2026年日期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67E2CD43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内容</w:t>
            </w:r>
          </w:p>
        </w:tc>
      </w:tr>
      <w:tr w14:paraId="78E02398">
        <w:trPr>
          <w:cantSplit/>
          <w:jc w:val="center"/>
        </w:trPr>
        <w:tc>
          <w:tcPr>
            <w:tcW w:w="3213" w:type="dxa"/>
            <w:vAlign w:val="center"/>
          </w:tcPr>
          <w:p w14:paraId="25F89D7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</w:t>
            </w:r>
          </w:p>
        </w:tc>
        <w:tc>
          <w:tcPr>
            <w:tcW w:w="3213" w:type="dxa"/>
            <w:vAlign w:val="center"/>
          </w:tcPr>
          <w:p w14:paraId="2FBC9D3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9月1日</w:t>
            </w:r>
          </w:p>
        </w:tc>
        <w:tc>
          <w:tcPr>
            <w:tcW w:w="3213" w:type="dxa"/>
            <w:vAlign w:val="center"/>
          </w:tcPr>
          <w:p w14:paraId="5A00117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Introduction：课程介绍</w:t>
            </w:r>
          </w:p>
        </w:tc>
      </w:tr>
      <w:tr w14:paraId="3E7EFD04">
        <w:trPr>
          <w:cantSplit/>
          <w:jc w:val="center"/>
        </w:trPr>
        <w:tc>
          <w:tcPr>
            <w:tcW w:w="3213" w:type="dxa"/>
            <w:vAlign w:val="center"/>
          </w:tcPr>
          <w:p w14:paraId="66B3FCF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2—3</w:t>
            </w:r>
          </w:p>
        </w:tc>
        <w:tc>
          <w:tcPr>
            <w:tcW w:w="3213" w:type="dxa"/>
            <w:vAlign w:val="center"/>
          </w:tcPr>
          <w:p w14:paraId="432F745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9月8日、15日</w:t>
            </w:r>
          </w:p>
        </w:tc>
        <w:tc>
          <w:tcPr>
            <w:tcW w:w="3213" w:type="dxa"/>
            <w:vAlign w:val="center"/>
          </w:tcPr>
          <w:p w14:paraId="3128281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三种福利体制</w:t>
            </w:r>
          </w:p>
        </w:tc>
      </w:tr>
      <w:tr w14:paraId="4BE3FBAF">
        <w:trPr>
          <w:cantSplit/>
          <w:jc w:val="center"/>
        </w:trPr>
        <w:tc>
          <w:tcPr>
            <w:tcW w:w="3213" w:type="dxa"/>
            <w:vAlign w:val="center"/>
          </w:tcPr>
          <w:p w14:paraId="2236307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4</w:t>
            </w:r>
          </w:p>
        </w:tc>
        <w:tc>
          <w:tcPr>
            <w:tcW w:w="3213" w:type="dxa"/>
            <w:vAlign w:val="center"/>
          </w:tcPr>
          <w:p w14:paraId="5F5EBBA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9月22日</w:t>
            </w:r>
          </w:p>
        </w:tc>
        <w:tc>
          <w:tcPr>
            <w:tcW w:w="3213" w:type="dxa"/>
            <w:vAlign w:val="center"/>
          </w:tcPr>
          <w:p w14:paraId="7C3BE7A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Developmental state：发展型国家</w:t>
            </w:r>
          </w:p>
        </w:tc>
      </w:tr>
      <w:tr w14:paraId="45A83C8F">
        <w:trPr>
          <w:cantSplit/>
          <w:jc w:val="center"/>
        </w:trPr>
        <w:tc>
          <w:tcPr>
            <w:tcW w:w="3213" w:type="dxa"/>
            <w:vAlign w:val="center"/>
          </w:tcPr>
          <w:p w14:paraId="3B7C9D7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5</w:t>
            </w:r>
          </w:p>
        </w:tc>
        <w:tc>
          <w:tcPr>
            <w:tcW w:w="3213" w:type="dxa"/>
            <w:vAlign w:val="center"/>
          </w:tcPr>
          <w:p w14:paraId="3DBB360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9月29日</w:t>
            </w:r>
          </w:p>
        </w:tc>
        <w:tc>
          <w:tcPr>
            <w:tcW w:w="3213" w:type="dxa"/>
            <w:vAlign w:val="center"/>
          </w:tcPr>
          <w:p w14:paraId="52CED2A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Public housing：公共住房</w:t>
            </w:r>
          </w:p>
        </w:tc>
      </w:tr>
      <w:tr w14:paraId="2EA0D0BD">
        <w:trPr>
          <w:cantSplit/>
          <w:jc w:val="center"/>
        </w:trPr>
        <w:tc>
          <w:tcPr>
            <w:tcW w:w="3213" w:type="dxa"/>
            <w:vAlign w:val="center"/>
          </w:tcPr>
          <w:p w14:paraId="45289B4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6</w:t>
            </w:r>
          </w:p>
        </w:tc>
        <w:tc>
          <w:tcPr>
            <w:tcW w:w="3213" w:type="dxa"/>
            <w:vAlign w:val="center"/>
          </w:tcPr>
          <w:p w14:paraId="2BEBF60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10月6日</w:t>
            </w:r>
          </w:p>
        </w:tc>
        <w:tc>
          <w:tcPr>
            <w:tcW w:w="3213" w:type="dxa"/>
            <w:vAlign w:val="center"/>
          </w:tcPr>
          <w:p w14:paraId="5CB4C4F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Private housing and ownership：私有住房与所有权</w:t>
            </w:r>
          </w:p>
        </w:tc>
      </w:tr>
      <w:tr w14:paraId="1CD09AD6">
        <w:trPr>
          <w:cantSplit/>
          <w:jc w:val="center"/>
        </w:trPr>
        <w:tc>
          <w:tcPr>
            <w:tcW w:w="3213" w:type="dxa"/>
            <w:vAlign w:val="center"/>
          </w:tcPr>
          <w:p w14:paraId="7B9DFF7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7</w:t>
            </w:r>
          </w:p>
        </w:tc>
        <w:tc>
          <w:tcPr>
            <w:tcW w:w="3213" w:type="dxa"/>
            <w:vAlign w:val="center"/>
          </w:tcPr>
          <w:p w14:paraId="5F6559A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10月13日</w:t>
            </w:r>
          </w:p>
        </w:tc>
        <w:tc>
          <w:tcPr>
            <w:tcW w:w="3213" w:type="dxa"/>
            <w:vAlign w:val="center"/>
          </w:tcPr>
          <w:p w14:paraId="3A315AF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Reading week：阅读周</w:t>
            </w:r>
          </w:p>
        </w:tc>
      </w:tr>
      <w:tr w14:paraId="1FB8A3AD">
        <w:trPr>
          <w:cantSplit/>
          <w:jc w:val="center"/>
        </w:trPr>
        <w:tc>
          <w:tcPr>
            <w:tcW w:w="3213" w:type="dxa"/>
            <w:vAlign w:val="center"/>
          </w:tcPr>
          <w:p w14:paraId="1251FE4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8</w:t>
            </w:r>
          </w:p>
        </w:tc>
        <w:tc>
          <w:tcPr>
            <w:tcW w:w="3213" w:type="dxa"/>
            <w:vAlign w:val="center"/>
          </w:tcPr>
          <w:p w14:paraId="174841B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10月20日</w:t>
            </w:r>
          </w:p>
        </w:tc>
        <w:tc>
          <w:tcPr>
            <w:tcW w:w="3213" w:type="dxa"/>
            <w:vAlign w:val="center"/>
          </w:tcPr>
          <w:p w14:paraId="5642B8B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Publicness：公共性</w:t>
            </w:r>
          </w:p>
        </w:tc>
      </w:tr>
      <w:tr w14:paraId="5C60ED8E">
        <w:trPr>
          <w:cantSplit/>
          <w:jc w:val="center"/>
        </w:trPr>
        <w:tc>
          <w:tcPr>
            <w:tcW w:w="3213" w:type="dxa"/>
            <w:vAlign w:val="center"/>
          </w:tcPr>
          <w:p w14:paraId="39EFFEC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9</w:t>
            </w:r>
          </w:p>
        </w:tc>
        <w:tc>
          <w:tcPr>
            <w:tcW w:w="3213" w:type="dxa"/>
            <w:vAlign w:val="center"/>
          </w:tcPr>
          <w:p w14:paraId="349036B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10月27日</w:t>
            </w:r>
          </w:p>
        </w:tc>
        <w:tc>
          <w:tcPr>
            <w:tcW w:w="3213" w:type="dxa"/>
            <w:vAlign w:val="center"/>
          </w:tcPr>
          <w:p w14:paraId="1E6A4FF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Guest lecture：客座讲座</w:t>
            </w:r>
          </w:p>
        </w:tc>
      </w:tr>
      <w:tr w14:paraId="6B2B318D">
        <w:trPr>
          <w:cantSplit/>
          <w:jc w:val="center"/>
        </w:trPr>
        <w:tc>
          <w:tcPr>
            <w:tcW w:w="3213" w:type="dxa"/>
            <w:vAlign w:val="center"/>
          </w:tcPr>
          <w:p w14:paraId="668557C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10</w:t>
            </w:r>
          </w:p>
        </w:tc>
        <w:tc>
          <w:tcPr>
            <w:tcW w:w="3213" w:type="dxa"/>
            <w:vAlign w:val="center"/>
          </w:tcPr>
          <w:p w14:paraId="01C2BEF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11月3日</w:t>
            </w:r>
          </w:p>
        </w:tc>
        <w:tc>
          <w:tcPr>
            <w:tcW w:w="3213" w:type="dxa"/>
            <w:vAlign w:val="center"/>
          </w:tcPr>
          <w:p w14:paraId="1329C27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cities：智慧城市</w:t>
            </w:r>
          </w:p>
        </w:tc>
      </w:tr>
      <w:tr w14:paraId="6777E903">
        <w:trPr>
          <w:cantSplit/>
          <w:jc w:val="center"/>
        </w:trPr>
        <w:tc>
          <w:tcPr>
            <w:tcW w:w="3213" w:type="dxa"/>
            <w:vAlign w:val="center"/>
          </w:tcPr>
          <w:p w14:paraId="48B200A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11</w:t>
            </w:r>
          </w:p>
        </w:tc>
        <w:tc>
          <w:tcPr>
            <w:tcW w:w="3213" w:type="dxa"/>
            <w:vAlign w:val="center"/>
          </w:tcPr>
          <w:p w14:paraId="4C88BDC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11月10日</w:t>
            </w:r>
          </w:p>
        </w:tc>
        <w:tc>
          <w:tcPr>
            <w:tcW w:w="3213" w:type="dxa"/>
            <w:vAlign w:val="center"/>
          </w:tcPr>
          <w:p w14:paraId="1B697A6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Guest lecture：客座讲座</w:t>
            </w:r>
          </w:p>
        </w:tc>
      </w:tr>
      <w:tr w14:paraId="2F6429BB">
        <w:trPr>
          <w:cantSplit/>
          <w:jc w:val="center"/>
        </w:trPr>
        <w:tc>
          <w:tcPr>
            <w:tcW w:w="3213" w:type="dxa"/>
            <w:vAlign w:val="center"/>
          </w:tcPr>
          <w:p w14:paraId="33BB0FA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12</w:t>
            </w:r>
          </w:p>
        </w:tc>
        <w:tc>
          <w:tcPr>
            <w:tcW w:w="3213" w:type="dxa"/>
            <w:vAlign w:val="center"/>
          </w:tcPr>
          <w:p w14:paraId="2CF35C5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11月17日</w:t>
            </w:r>
          </w:p>
        </w:tc>
        <w:tc>
          <w:tcPr>
            <w:tcW w:w="3213" w:type="dxa"/>
            <w:vAlign w:val="center"/>
          </w:tcPr>
          <w:p w14:paraId="229B964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Cultural cities：文化城市</w:t>
            </w:r>
          </w:p>
        </w:tc>
      </w:tr>
      <w:tr w14:paraId="29BEBC39">
        <w:trPr>
          <w:cantSplit/>
          <w:jc w:val="center"/>
        </w:trPr>
        <w:tc>
          <w:tcPr>
            <w:tcW w:w="3213" w:type="dxa"/>
            <w:vAlign w:val="center"/>
          </w:tcPr>
          <w:p w14:paraId="06CF9F8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13</w:t>
            </w:r>
          </w:p>
        </w:tc>
        <w:tc>
          <w:tcPr>
            <w:tcW w:w="3213" w:type="dxa"/>
            <w:vAlign w:val="center"/>
          </w:tcPr>
          <w:p w14:paraId="0BA33AB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11月24日</w:t>
            </w:r>
          </w:p>
        </w:tc>
        <w:tc>
          <w:tcPr>
            <w:tcW w:w="3213" w:type="dxa"/>
            <w:vAlign w:val="center"/>
          </w:tcPr>
          <w:p w14:paraId="117C25A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In-class test：课堂测试</w:t>
            </w:r>
          </w:p>
        </w:tc>
      </w:tr>
    </w:tbl>
    <w:p w14:paraId="3121EBA6">
      <w:pPr>
        <w:spacing w:before="0" w:after="70" w:line="276" w:lineRule="auto"/>
        <w:keepLines/>
      </w:pPr>
    </w:p>
    <w:p w14:paraId="34705AE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The syllabus lists the in-class test on 24 November 2026.</w:t>
      </w:r>
    </w:p>
    <w:p w14:paraId="752C170E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大纲列出的课堂测试日期为2026年11月24日。</w:t>
      </w:r>
    </w:p>
    <w:p w14:paraId="33F9BAFB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日期以教师或Canvas后续更新为准。</w:t>
      </w:r>
      <w:r>
        <w:rPr>
          <w:b/>
          <w:color w:val="000000"/>
          <w:sz w:val="21"/>
          <w:szCs w:val="21"/>
          <w:rFonts w:ascii="Calibri" w:hAnsi="Calibri" w:eastAsia="Noto Sans CJK SC"/>
        </w:rPr>
        <w:t>T7、T8是主题编号，不是第7、8周。</w:t>
      </w:r>
      <w:r>
        <w:rPr>
          <w:color w:val="000000"/>
          <w:sz w:val="21"/>
          <w:szCs w:val="21"/>
          <w:rFonts w:ascii="Calibri" w:hAnsi="Calibri" w:eastAsia="Noto Sans CJK SC"/>
        </w:rPr>
        <w:t>Word所写周次不符合这份大纲。</w:t>
      </w:r>
    </w:p>
    <w:p w14:paraId="2CCAAE2D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本页写每组</w:t>
      </w:r>
      <w:r>
        <w:rPr>
          <w:b/>
          <w:color w:val="000000"/>
          <w:sz w:val="21"/>
          <w:szCs w:val="21"/>
          <w:rFonts w:ascii="Calibri" w:hAnsi="Calibri" w:eastAsia="Noto Sans CJK SC"/>
        </w:rPr>
        <w:t>5人</w:t>
      </w:r>
      <w:r>
        <w:rPr>
          <w:color w:val="000000"/>
          <w:sz w:val="21"/>
          <w:szCs w:val="21"/>
          <w:rFonts w:ascii="Calibri" w:hAnsi="Calibri" w:eastAsia="Noto Sans CJK SC"/>
        </w:rPr>
        <w:t>，展示资料至少提前</w:t>
      </w:r>
      <w:r>
        <w:rPr>
          <w:b/>
          <w:color w:val="000000"/>
          <w:sz w:val="21"/>
          <w:szCs w:val="21"/>
          <w:rFonts w:ascii="Calibri" w:hAnsi="Calibri" w:eastAsia="Noto Sans CJK SC"/>
        </w:rPr>
        <w:t>12小时</w:t>
      </w:r>
      <w:r>
        <w:rPr>
          <w:color w:val="000000"/>
          <w:sz w:val="21"/>
          <w:szCs w:val="21"/>
          <w:rFonts w:ascii="Calibri" w:hAnsi="Calibri" w:eastAsia="Noto Sans CJK SC"/>
        </w:rPr>
        <w:t>交Canvas，论文</w:t>
      </w:r>
      <w:r>
        <w:rPr>
          <w:b/>
          <w:color w:val="000000"/>
          <w:sz w:val="21"/>
          <w:szCs w:val="21"/>
          <w:rFonts w:ascii="Calibri" w:hAnsi="Calibri" w:eastAsia="Noto Sans CJK SC"/>
        </w:rPr>
        <w:t>3000—4000 words</w:t>
      </w:r>
      <w:r>
        <w:rPr>
          <w:color w:val="000000"/>
          <w:sz w:val="21"/>
          <w:szCs w:val="21"/>
          <w:rFonts w:ascii="Calibri" w:hAnsi="Calibri" w:eastAsia="Noto Sans CJK SC"/>
        </w:rPr>
        <w:t>。</w:t>
      </w:r>
    </w:p>
    <w:p w14:paraId="4FE94419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大纲第4页｜提交时间与理论阅读</w:t>
      </w:r>
    </w:p>
    <w:p w14:paraId="5CAA1EB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论文在展示后两周提交。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649DE32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0743BEA5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主题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6E11386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阅读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272C5445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阅读目的</w:t>
            </w:r>
          </w:p>
        </w:tc>
      </w:tr>
      <w:tr w14:paraId="04D43E99">
        <w:trPr>
          <w:cantSplit/>
          <w:jc w:val="center"/>
        </w:trPr>
        <w:tc>
          <w:tcPr>
            <w:tcW w:w="3213" w:type="dxa"/>
            <w:vAlign w:val="center"/>
          </w:tcPr>
          <w:p w14:paraId="1E75FBE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T1—T2</w:t>
            </w:r>
          </w:p>
        </w:tc>
        <w:tc>
          <w:tcPr>
            <w:tcW w:w="3213" w:type="dxa"/>
            <w:vAlign w:val="center"/>
          </w:tcPr>
          <w:p w14:paraId="6DD6C08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Esping-Andersen (1990), Part One</w:t>
            </w:r>
          </w:p>
        </w:tc>
        <w:tc>
          <w:tcPr>
            <w:tcW w:w="3213" w:type="dxa"/>
            <w:vAlign w:val="center"/>
          </w:tcPr>
          <w:p w14:paraId="48690A9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福利体制框架</w:t>
            </w:r>
          </w:p>
        </w:tc>
      </w:tr>
      <w:tr w14:paraId="70759EC7">
        <w:trPr>
          <w:cantSplit/>
          <w:jc w:val="center"/>
        </w:trPr>
        <w:tc>
          <w:tcPr>
            <w:tcW w:w="3213" w:type="dxa"/>
            <w:vAlign w:val="center"/>
          </w:tcPr>
          <w:p w14:paraId="3AEA0CD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T1—T2</w:t>
            </w:r>
          </w:p>
        </w:tc>
        <w:tc>
          <w:tcPr>
            <w:tcW w:w="3213" w:type="dxa"/>
            <w:vAlign w:val="center"/>
          </w:tcPr>
          <w:p w14:paraId="07D2D6E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Pierson (2000)</w:t>
            </w:r>
          </w:p>
        </w:tc>
        <w:tc>
          <w:tcPr>
            <w:tcW w:w="3213" w:type="dxa"/>
            <w:vAlign w:val="center"/>
          </w:tcPr>
          <w:p w14:paraId="32526AC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福利国家研究</w:t>
            </w:r>
          </w:p>
        </w:tc>
      </w:tr>
      <w:tr w14:paraId="1AC3B8FA">
        <w:trPr>
          <w:cantSplit/>
          <w:jc w:val="center"/>
        </w:trPr>
        <w:tc>
          <w:tcPr>
            <w:tcW w:w="3213" w:type="dxa"/>
            <w:vAlign w:val="center"/>
          </w:tcPr>
          <w:p w14:paraId="4D50555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T3</w:t>
            </w:r>
          </w:p>
        </w:tc>
        <w:tc>
          <w:tcPr>
            <w:tcW w:w="3213" w:type="dxa"/>
            <w:vAlign w:val="center"/>
          </w:tcPr>
          <w:p w14:paraId="0A10E4B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Johnson (1982)</w:t>
            </w:r>
          </w:p>
        </w:tc>
        <w:tc>
          <w:tcPr>
            <w:tcW w:w="3213" w:type="dxa"/>
            <w:vAlign w:val="center"/>
          </w:tcPr>
          <w:p w14:paraId="4FCC23B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发展型国家与产业政策</w:t>
            </w:r>
          </w:p>
        </w:tc>
      </w:tr>
      <w:tr w14:paraId="52EA1F6E">
        <w:trPr>
          <w:cantSplit/>
          <w:jc w:val="center"/>
        </w:trPr>
        <w:tc>
          <w:tcPr>
            <w:tcW w:w="3213" w:type="dxa"/>
            <w:vAlign w:val="center"/>
          </w:tcPr>
          <w:p w14:paraId="4AE3134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T3</w:t>
            </w:r>
          </w:p>
        </w:tc>
        <w:tc>
          <w:tcPr>
            <w:tcW w:w="3213" w:type="dxa"/>
            <w:vAlign w:val="center"/>
          </w:tcPr>
          <w:p w14:paraId="01A7AB3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Gough (2004)</w:t>
            </w:r>
          </w:p>
        </w:tc>
        <w:tc>
          <w:tcPr>
            <w:tcW w:w="3213" w:type="dxa"/>
            <w:vAlign w:val="center"/>
          </w:tcPr>
          <w:p w14:paraId="5447EAC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发展背景中的福利制度</w:t>
            </w:r>
          </w:p>
        </w:tc>
      </w:tr>
      <w:tr w14:paraId="125A2A46">
        <w:trPr>
          <w:cantSplit/>
          <w:jc w:val="center"/>
        </w:trPr>
        <w:tc>
          <w:tcPr>
            <w:tcW w:w="3213" w:type="dxa"/>
            <w:vAlign w:val="center"/>
          </w:tcPr>
          <w:p w14:paraId="1800592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T4</w:t>
            </w:r>
          </w:p>
        </w:tc>
        <w:tc>
          <w:tcPr>
            <w:tcW w:w="3213" w:type="dxa"/>
            <w:vAlign w:val="center"/>
          </w:tcPr>
          <w:p w14:paraId="6FCC1F7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Kemeny；Matznetter与Mundt</w:t>
            </w:r>
          </w:p>
        </w:tc>
        <w:tc>
          <w:tcPr>
            <w:tcW w:w="3213" w:type="dxa"/>
            <w:vAlign w:val="center"/>
          </w:tcPr>
          <w:p w14:paraId="1FC6944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住房制度与福利体制</w:t>
            </w:r>
          </w:p>
        </w:tc>
      </w:tr>
    </w:tbl>
    <w:p w14:paraId="69014C96">
      <w:pPr>
        <w:spacing w:before="0" w:after="70" w:line="276" w:lineRule="auto"/>
        <w:keepLines/>
      </w:pPr>
    </w:p>
    <w:p w14:paraId="3302C61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建议：</w:t>
      </w:r>
      <w:r>
        <w:rPr>
          <w:color w:val="000000"/>
          <w:sz w:val="21"/>
          <w:szCs w:val="21"/>
          <w:rFonts w:ascii="Calibri" w:hAnsi="Calibri" w:eastAsia="Noto Sans CJK SC"/>
        </w:rPr>
        <w:t>先理解概念，再回到阅读寻找论证和证据，避免只背作者姓名。</w:t>
      </w:r>
    </w:p>
    <w:p w14:paraId="74091951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大纲第5页｜公共住房与住房自有阅读</w:t>
      </w:r>
    </w:p>
    <w:p w14:paraId="32C02D93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Public housing：</w:t>
      </w:r>
      <w:r>
        <w:rPr>
          <w:color w:val="000000"/>
          <w:sz w:val="21"/>
          <w:szCs w:val="21"/>
          <w:rFonts w:ascii="Calibri" w:hAnsi="Calibri" w:eastAsia="Noto Sans CJK SC"/>
        </w:rPr>
        <w:t>不同国家的社会住房、公共住房及制度变化。</w:t>
      </w:r>
    </w:p>
    <w:p w14:paraId="53B4C9D1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Homeownership：</w:t>
      </w:r>
      <w:r>
        <w:rPr>
          <w:color w:val="000000"/>
          <w:sz w:val="21"/>
          <w:szCs w:val="21"/>
          <w:rFonts w:ascii="Calibri" w:hAnsi="Calibri" w:eastAsia="Noto Sans CJK SC"/>
        </w:rPr>
        <w:t>不同住房自有社会、代际差异、私人租赁、所有权的社会后果，以及发展型国家中的住房政策变化。</w:t>
      </w:r>
    </w:p>
    <w:p w14:paraId="6EFC2321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英文：How do institutions shape access to homeownership and renting?</w:t>
      </w:r>
    </w:p>
    <w:p w14:paraId="3A3008D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中文：制度如何影响进入自有住房和租赁住房的机会？</w:t>
      </w:r>
    </w:p>
    <w:p w14:paraId="27E29F4C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大纲第6页｜公共性、智慧城市与文化阅读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9FDB0E1">
        <w:trPr>
          <w:cantSplit/>
          <w:tblHeader/>
          <w:jc w:val="center"/>
        </w:trPr>
        <w:tc>
          <w:tcPr>
            <w:tcW w:w="3213" w:type="dxa"/>
            <w:shd w:val="clear" w:color="auto" w:fill="E9EFF4"/>
            <w:vAlign w:val="center"/>
          </w:tcPr>
          <w:p w14:paraId="4A4F21CC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主题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5A8B1855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阅读线索</w:t>
            </w:r>
          </w:p>
        </w:tc>
        <w:tc>
          <w:tcPr>
            <w:tcW w:w="3213" w:type="dxa"/>
            <w:shd w:val="clear" w:color="auto" w:fill="E9EFF4"/>
            <w:vAlign w:val="center"/>
          </w:tcPr>
          <w:p w14:paraId="6EAF2047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可带着阅读的问题</w:t>
            </w:r>
          </w:p>
        </w:tc>
      </w:tr>
      <w:tr w14:paraId="5A66A71C">
        <w:trPr>
          <w:cantSplit/>
          <w:jc w:val="center"/>
        </w:trPr>
        <w:tc>
          <w:tcPr>
            <w:tcW w:w="3213" w:type="dxa"/>
            <w:vAlign w:val="center"/>
          </w:tcPr>
          <w:p w14:paraId="1C3C397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Publicness</w:t>
            </w:r>
          </w:p>
        </w:tc>
        <w:tc>
          <w:tcPr>
            <w:tcW w:w="3213" w:type="dxa"/>
            <w:vAlign w:val="center"/>
          </w:tcPr>
          <w:p w14:paraId="714F8D2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Dewey、Healey、Habermas</w:t>
            </w:r>
          </w:p>
        </w:tc>
        <w:tc>
          <w:tcPr>
            <w:tcW w:w="3213" w:type="dxa"/>
            <w:vAlign w:val="center"/>
          </w:tcPr>
          <w:p w14:paraId="689C493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公众、公共利益和参与如何形成？</w:t>
            </w:r>
          </w:p>
        </w:tc>
      </w:tr>
      <w:tr w14:paraId="20308BB1">
        <w:trPr>
          <w:cantSplit/>
          <w:jc w:val="center"/>
        </w:trPr>
        <w:tc>
          <w:tcPr>
            <w:tcW w:w="3213" w:type="dxa"/>
            <w:vAlign w:val="center"/>
          </w:tcPr>
          <w:p w14:paraId="3D01891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Smart cities</w:t>
            </w:r>
          </w:p>
        </w:tc>
        <w:tc>
          <w:tcPr>
            <w:tcW w:w="3213" w:type="dxa"/>
            <w:vAlign w:val="center"/>
          </w:tcPr>
          <w:p w14:paraId="1801A5B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Hollands、Vanolo、Goodspeed等</w:t>
            </w:r>
          </w:p>
        </w:tc>
        <w:tc>
          <w:tcPr>
            <w:tcW w:w="3213" w:type="dxa"/>
            <w:vAlign w:val="center"/>
          </w:tcPr>
          <w:p w14:paraId="5323C60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技术、企业、治理与复杂城市问题有什么关系？</w:t>
            </w:r>
          </w:p>
        </w:tc>
      </w:tr>
      <w:tr w14:paraId="19F00338">
        <w:trPr>
          <w:cantSplit/>
          <w:jc w:val="center"/>
        </w:trPr>
        <w:tc>
          <w:tcPr>
            <w:tcW w:w="3213" w:type="dxa"/>
            <w:vAlign w:val="center"/>
          </w:tcPr>
          <w:p w14:paraId="0F48BB3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Cultural policy</w:t>
            </w:r>
          </w:p>
        </w:tc>
        <w:tc>
          <w:tcPr>
            <w:tcW w:w="3213" w:type="dxa"/>
            <w:vAlign w:val="center"/>
          </w:tcPr>
          <w:p w14:paraId="3EE6E9C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Abbas、Stevenson</w:t>
            </w:r>
          </w:p>
        </w:tc>
        <w:tc>
          <w:tcPr>
            <w:tcW w:w="3213" w:type="dxa"/>
            <w:vAlign w:val="center"/>
          </w:tcPr>
          <w:p w14:paraId="76A4B86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城市文化如何联系历史、政治与身份？</w:t>
            </w:r>
          </w:p>
        </w:tc>
      </w:tr>
    </w:tbl>
    <w:p w14:paraId="3844BEB7">
      <w:pPr>
        <w:spacing w:before="0" w:after="70" w:line="276" w:lineRule="auto"/>
        <w:keepLines/>
      </w:pPr>
    </w:p>
    <w:p w14:paraId="2C4FCE1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以上是依据题名和课程主题整理的阅读方向，不替代原文论证。</w:t>
      </w:r>
    </w:p>
    <w:p w14:paraId="044829DA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大纲第7页｜文化政策比较拓展</w:t>
      </w:r>
    </w:p>
    <w:p w14:paraId="79283A39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涉及深圳音乐城市与文化空间政治、上海世博会与文化外交，以及瑞典、德国、美国的文化政策和福利国家比较。</w:t>
      </w:r>
    </w:p>
    <w:p w14:paraId="6A55C3E0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理论联系：</w:t>
      </w:r>
      <w:r>
        <w:rPr>
          <w:color w:val="000000"/>
          <w:sz w:val="21"/>
          <w:szCs w:val="21"/>
          <w:rFonts w:ascii="Calibri" w:hAnsi="Calibri" w:eastAsia="Noto Sans CJK SC"/>
        </w:rPr>
        <w:t>福利体制框架也可比较文化供给、资助方式和公共服务理念。</w:t>
      </w:r>
    </w:p>
    <w:p w14:paraId="79423C7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英文：Welfare institutions can influence cultural policy as well as housing policy.</w:t>
      </w:r>
    </w:p>
    <w:p w14:paraId="1FED3F8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中文：福利制度既可能影响住房政策，也可能影响文化政策。</w:t>
      </w:r>
    </w:p>
    <w:p>
      <w:pPr>
        <w:sectPr>
          <w:headerReference w:type="default" r:id="rId76"/>
          <w:pgSz w:w="11906" w:h="16838"/>
          <w:pgMar w:top="822" w:right="935" w:bottom="794" w:left="935" w:header="340" w:footer="340" w:gutter="0"/>
          <w:cols w:space="720"/>
          <w:docGrid w:linePitch="360"/>
        </w:sectPr>
      </w:pPr>
    </w:p>
    <w:p w14:paraId="7382F02A">
      <w:pPr>
        <w:pStyle w:val="3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第三部分｜材料更正、比较表与英文答题</w:t>
      </w:r>
    </w:p>
    <w:p w14:paraId="59C87265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材料中容易误记的说法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CC11788">
        <w:trPr>
          <w:cantSplit/>
          <w:tblHeader/>
          <w:jc w:val="center"/>
        </w:trPr>
        <w:tc>
          <w:tcPr>
            <w:tcW w:w="4819" w:type="dxa"/>
            <w:shd w:val="clear" w:color="auto" w:fill="E9EFF4"/>
            <w:vAlign w:val="center"/>
          </w:tcPr>
          <w:p w14:paraId="43E0691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原材料说法</w:t>
            </w:r>
          </w:p>
        </w:tc>
        <w:tc>
          <w:tcPr>
            <w:tcW w:w="4819" w:type="dxa"/>
            <w:shd w:val="clear" w:color="auto" w:fill="E9EFF4"/>
            <w:vAlign w:val="center"/>
          </w:tcPr>
          <w:p w14:paraId="7B936661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更准确的复习方式</w:t>
            </w:r>
          </w:p>
        </w:tc>
      </w:tr>
      <w:tr w14:paraId="7297B1FF">
        <w:trPr>
          <w:cantSplit/>
          <w:jc w:val="center"/>
        </w:trPr>
        <w:tc>
          <w:tcPr>
            <w:tcW w:w="4819" w:type="dxa"/>
            <w:vAlign w:val="center"/>
          </w:tcPr>
          <w:p w14:paraId="5703C2F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普遍权利是不附加任何条件</w:t>
            </w:r>
          </w:p>
        </w:tc>
        <w:tc>
          <w:tcPr>
            <w:tcW w:w="4819" w:type="dxa"/>
            <w:vAlign w:val="center"/>
          </w:tcPr>
          <w:p w14:paraId="5E0FFEA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普遍主义强调广泛覆盖和权利基础，不表示没有居民身份、年龄或行政资格</w:t>
            </w:r>
          </w:p>
        </w:tc>
      </w:tr>
      <w:tr w14:paraId="4FC56974">
        <w:trPr>
          <w:cantSplit/>
          <w:jc w:val="center"/>
        </w:trPr>
        <w:tc>
          <w:tcPr>
            <w:tcW w:w="4819" w:type="dxa"/>
            <w:vAlign w:val="center"/>
          </w:tcPr>
          <w:p w14:paraId="40688AD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非营利机构提供的都叫公共住房</w:t>
            </w:r>
          </w:p>
        </w:tc>
        <w:tc>
          <w:tcPr>
            <w:tcW w:w="4819" w:type="dxa"/>
            <w:vAlign w:val="center"/>
          </w:tcPr>
          <w:p w14:paraId="186A7EF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区分public housing与范围可能更广的social housing</w:t>
            </w:r>
          </w:p>
        </w:tc>
      </w:tr>
      <w:tr w14:paraId="761FE1D0">
        <w:trPr>
          <w:cantSplit/>
          <w:jc w:val="center"/>
        </w:trPr>
        <w:tc>
          <w:tcPr>
            <w:tcW w:w="4819" w:type="dxa"/>
            <w:vAlign w:val="center"/>
          </w:tcPr>
          <w:p w14:paraId="6841378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有条件福利体现发展型国家</w:t>
            </w:r>
          </w:p>
        </w:tc>
        <w:tc>
          <w:tcPr>
            <w:tcW w:w="4819" w:type="dxa"/>
            <w:vAlign w:val="center"/>
          </w:tcPr>
          <w:p w14:paraId="1425E201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条件设置并非该类型独有，应结合目的解释</w:t>
            </w:r>
          </w:p>
        </w:tc>
      </w:tr>
      <w:tr w14:paraId="28CE5F1A">
        <w:trPr>
          <w:cantSplit/>
          <w:jc w:val="center"/>
        </w:trPr>
        <w:tc>
          <w:tcPr>
            <w:tcW w:w="4819" w:type="dxa"/>
            <w:vAlign w:val="center"/>
          </w:tcPr>
          <w:p w14:paraId="1BBFFC4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保守型体制鼓励自有住房</w:t>
            </w:r>
          </w:p>
        </w:tc>
        <w:tc>
          <w:tcPr>
            <w:tcW w:w="4819" w:type="dxa"/>
            <w:vAlign w:val="center"/>
          </w:tcPr>
          <w:p w14:paraId="78187B6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不能推成所有保守型国家都具有高自有率</w:t>
            </w:r>
          </w:p>
        </w:tc>
      </w:tr>
      <w:tr w14:paraId="115A95AB">
        <w:trPr>
          <w:cantSplit/>
          <w:jc w:val="center"/>
        </w:trPr>
        <w:tc>
          <w:tcPr>
            <w:tcW w:w="4819" w:type="dxa"/>
            <w:vAlign w:val="center"/>
          </w:tcPr>
          <w:p w14:paraId="1BB6247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根据公共住房判断福利类型</w:t>
            </w:r>
          </w:p>
        </w:tc>
        <w:tc>
          <w:tcPr>
            <w:tcW w:w="4819" w:type="dxa"/>
            <w:vAlign w:val="center"/>
          </w:tcPr>
          <w:p w14:paraId="5B3FC27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可作证据之一，不能仅凭一个指标分类</w:t>
            </w:r>
          </w:p>
        </w:tc>
      </w:tr>
      <w:tr w14:paraId="1A9B6DB2">
        <w:trPr>
          <w:cantSplit/>
          <w:jc w:val="center"/>
        </w:trPr>
        <w:tc>
          <w:tcPr>
            <w:tcW w:w="4819" w:type="dxa"/>
            <w:vAlign w:val="center"/>
          </w:tcPr>
          <w:p w14:paraId="0ABF5FD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荷兰是北欧国家</w:t>
            </w:r>
          </w:p>
        </w:tc>
        <w:tc>
          <w:tcPr>
            <w:tcW w:w="4819" w:type="dxa"/>
            <w:vAlign w:val="center"/>
          </w:tcPr>
          <w:p w14:paraId="3139396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地理表述不准确；制度分类也需说明背景</w:t>
            </w:r>
          </w:p>
        </w:tc>
      </w:tr>
      <w:tr w14:paraId="70B1A321">
        <w:trPr>
          <w:cantSplit/>
          <w:jc w:val="center"/>
        </w:trPr>
        <w:tc>
          <w:tcPr>
            <w:tcW w:w="4819" w:type="dxa"/>
            <w:vAlign w:val="center"/>
          </w:tcPr>
          <w:p w14:paraId="7C9363E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智慧城市与文化是第7、8周</w:t>
            </w:r>
          </w:p>
        </w:tc>
        <w:tc>
          <w:tcPr>
            <w:tcW w:w="4819" w:type="dxa"/>
            <w:vAlign w:val="center"/>
          </w:tcPr>
          <w:p w14:paraId="3FA8A05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T7、T8是主题编号；大纲在第10、12周</w:t>
            </w:r>
          </w:p>
        </w:tc>
      </w:tr>
      <w:tr w14:paraId="55CF48C3">
        <w:trPr>
          <w:cantSplit/>
          <w:jc w:val="center"/>
        </w:trPr>
        <w:tc>
          <w:tcPr>
            <w:tcW w:w="4819" w:type="dxa"/>
            <w:vAlign w:val="center"/>
          </w:tcPr>
          <w:p w14:paraId="177F62D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听课宝是完整转录</w:t>
            </w:r>
          </w:p>
        </w:tc>
        <w:tc>
          <w:tcPr>
            <w:tcW w:w="4819" w:type="dxa"/>
            <w:vAlign w:val="center"/>
          </w:tcPr>
          <w:p w14:paraId="66A29CE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实际上传的是1页总结，无法核对逐字原话</w:t>
            </w:r>
          </w:p>
        </w:tc>
      </w:tr>
    </w:tbl>
    <w:p w14:paraId="473F3021">
      <w:pPr>
        <w:spacing w:before="0" w:after="70" w:line="276" w:lineRule="auto"/>
        <w:keepLines/>
      </w:pPr>
    </w:p>
    <w:p w14:paraId="6A39F087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课程安排冲突：保留疑问，勿自行合并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F007CBF">
        <w:trPr>
          <w:cantSplit/>
          <w:tblHeader/>
          <w:jc w:val="center"/>
        </w:trPr>
        <w:tc>
          <w:tcPr>
            <w:tcW w:w="2409" w:type="dxa"/>
            <w:shd w:val="clear" w:color="auto" w:fill="E9EFF4"/>
            <w:vAlign w:val="center"/>
          </w:tcPr>
          <w:p w14:paraId="7C73BC30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项目</w:t>
            </w:r>
          </w:p>
        </w:tc>
        <w:tc>
          <w:tcPr>
            <w:tcW w:w="2409" w:type="dxa"/>
            <w:shd w:val="clear" w:color="auto" w:fill="E9EFF4"/>
            <w:vAlign w:val="center"/>
          </w:tcPr>
          <w:p w14:paraId="3BCBDC9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课件</w:t>
            </w:r>
          </w:p>
        </w:tc>
        <w:tc>
          <w:tcPr>
            <w:tcW w:w="2409" w:type="dxa"/>
            <w:shd w:val="clear" w:color="auto" w:fill="E9EFF4"/>
            <w:vAlign w:val="center"/>
          </w:tcPr>
          <w:p w14:paraId="40CE9F63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2026/27大纲</w:t>
            </w:r>
          </w:p>
        </w:tc>
        <w:tc>
          <w:tcPr>
            <w:tcW w:w="2409" w:type="dxa"/>
            <w:shd w:val="clear" w:color="auto" w:fill="E9EFF4"/>
            <w:vAlign w:val="center"/>
          </w:tcPr>
          <w:p w14:paraId="0272FF2C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听课宝／Word</w:t>
            </w:r>
          </w:p>
        </w:tc>
      </w:tr>
      <w:tr w14:paraId="1D0B371C">
        <w:trPr>
          <w:cantSplit/>
          <w:jc w:val="center"/>
        </w:trPr>
        <w:tc>
          <w:tcPr>
            <w:tcW w:w="2409" w:type="dxa"/>
            <w:vAlign w:val="center"/>
          </w:tcPr>
          <w:p w14:paraId="371C1F0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小组人数</w:t>
            </w:r>
          </w:p>
        </w:tc>
        <w:tc>
          <w:tcPr>
            <w:tcW w:w="2409" w:type="dxa"/>
            <w:vAlign w:val="center"/>
          </w:tcPr>
          <w:p w14:paraId="07FAC5F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4人</w:t>
            </w:r>
          </w:p>
        </w:tc>
        <w:tc>
          <w:tcPr>
            <w:tcW w:w="2409" w:type="dxa"/>
            <w:vAlign w:val="center"/>
          </w:tcPr>
          <w:p w14:paraId="233506E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5人</w:t>
            </w:r>
          </w:p>
        </w:tc>
        <w:tc>
          <w:tcPr>
            <w:tcW w:w="2409" w:type="dxa"/>
            <w:vAlign w:val="center"/>
          </w:tcPr>
          <w:p w14:paraId="52FE779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听课宝约5人</w:t>
            </w:r>
          </w:p>
        </w:tc>
      </w:tr>
      <w:tr w14:paraId="2486AE86">
        <w:trPr>
          <w:cantSplit/>
          <w:jc w:val="center"/>
        </w:trPr>
        <w:tc>
          <w:tcPr>
            <w:tcW w:w="2409" w:type="dxa"/>
            <w:vAlign w:val="center"/>
          </w:tcPr>
          <w:p w14:paraId="492037D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论文单位</w:t>
            </w:r>
          </w:p>
        </w:tc>
        <w:tc>
          <w:tcPr>
            <w:tcW w:w="2409" w:type="dxa"/>
            <w:vAlign w:val="center"/>
          </w:tcPr>
          <w:p w14:paraId="13E19F7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标题有individual，正文写each team</w:t>
            </w:r>
          </w:p>
        </w:tc>
        <w:tc>
          <w:tcPr>
            <w:tcW w:w="2409" w:type="dxa"/>
            <w:vAlign w:val="center"/>
          </w:tcPr>
          <w:p w14:paraId="75EDD7C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按每组论文表述</w:t>
            </w:r>
          </w:p>
        </w:tc>
        <w:tc>
          <w:tcPr>
            <w:tcW w:w="2409" w:type="dxa"/>
            <w:vAlign w:val="center"/>
          </w:tcPr>
          <w:p w14:paraId="627BBD0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提及个人论文</w:t>
            </w:r>
          </w:p>
        </w:tc>
      </w:tr>
      <w:tr w14:paraId="5CAC9C2F">
        <w:trPr>
          <w:cantSplit/>
          <w:jc w:val="center"/>
        </w:trPr>
        <w:tc>
          <w:tcPr>
            <w:tcW w:w="2409" w:type="dxa"/>
            <w:vAlign w:val="center"/>
          </w:tcPr>
          <w:p w14:paraId="4A28C5A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展示周次</w:t>
            </w:r>
          </w:p>
        </w:tc>
        <w:tc>
          <w:tcPr>
            <w:tcW w:w="2409" w:type="dxa"/>
            <w:vAlign w:val="center"/>
          </w:tcPr>
          <w:p w14:paraId="7725754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第25页一组周次</w:t>
            </w:r>
          </w:p>
        </w:tc>
        <w:tc>
          <w:tcPr>
            <w:tcW w:w="2409" w:type="dxa"/>
            <w:vAlign w:val="center"/>
          </w:tcPr>
          <w:p w14:paraId="67D5BF6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seminar表另列不同周次</w:t>
            </w:r>
          </w:p>
        </w:tc>
        <w:tc>
          <w:tcPr>
            <w:tcW w:w="2409" w:type="dxa"/>
            <w:vAlign w:val="center"/>
          </w:tcPr>
          <w:p w14:paraId="0C96F7F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与课件部分相近</w:t>
            </w:r>
          </w:p>
        </w:tc>
      </w:tr>
      <w:tr w14:paraId="40BA319B">
        <w:trPr>
          <w:cantSplit/>
          <w:jc w:val="center"/>
        </w:trPr>
        <w:tc>
          <w:tcPr>
            <w:tcW w:w="2409" w:type="dxa"/>
            <w:vAlign w:val="center"/>
          </w:tcPr>
          <w:p w14:paraId="54DF7F0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论文字数</w:t>
            </w:r>
          </w:p>
        </w:tc>
        <w:tc>
          <w:tcPr>
            <w:tcW w:w="2409" w:type="dxa"/>
            <w:vAlign w:val="center"/>
          </w:tcPr>
          <w:p w14:paraId="4DD3886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3000—4000 words</w:t>
            </w:r>
          </w:p>
        </w:tc>
        <w:tc>
          <w:tcPr>
            <w:tcW w:w="2409" w:type="dxa"/>
            <w:vAlign w:val="center"/>
          </w:tcPr>
          <w:p w14:paraId="7635EAF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3000—4000 words</w:t>
            </w:r>
          </w:p>
        </w:tc>
        <w:tc>
          <w:tcPr>
            <w:tcW w:w="2409" w:type="dxa"/>
            <w:vAlign w:val="center"/>
          </w:tcPr>
          <w:p w14:paraId="261ECE5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中文“字”易误读</w:t>
            </w:r>
          </w:p>
        </w:tc>
      </w:tr>
    </w:tbl>
    <w:p w14:paraId="5E1D5C8B">
      <w:pPr>
        <w:spacing w:before="0" w:after="70" w:line="276" w:lineRule="auto"/>
        <w:keepLines/>
      </w:pPr>
    </w:p>
    <w:p w14:paraId="1F1EACA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现有材料不能确定哪项是教师后续采用的最终安排。</w:t>
      </w:r>
    </w:p>
    <w:p w14:paraId="38FE2653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四类体制比较速记表</w:t>
      </w:r>
    </w:p>
    <w:p w14:paraId="5628EC2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本表是复习框架，不是给所有国家贴永久标签。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3BB5E33B">
        <w:trPr>
          <w:cantSplit/>
          <w:tblHeader/>
          <w:jc w:val="center"/>
        </w:trPr>
        <w:tc>
          <w:tcPr>
            <w:tcW w:w="1928" w:type="dxa"/>
            <w:shd w:val="clear" w:color="auto" w:fill="E9EFF4"/>
            <w:vAlign w:val="center"/>
          </w:tcPr>
          <w:p w14:paraId="59DE2F48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维度</w:t>
            </w:r>
          </w:p>
        </w:tc>
        <w:tc>
          <w:tcPr>
            <w:tcW w:w="1928" w:type="dxa"/>
            <w:shd w:val="clear" w:color="auto" w:fill="E9EFF4"/>
            <w:vAlign w:val="center"/>
          </w:tcPr>
          <w:p w14:paraId="4809E9FB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自由主义</w:t>
            </w:r>
          </w:p>
        </w:tc>
        <w:tc>
          <w:tcPr>
            <w:tcW w:w="1928" w:type="dxa"/>
            <w:shd w:val="clear" w:color="auto" w:fill="E9EFF4"/>
            <w:vAlign w:val="center"/>
          </w:tcPr>
          <w:p w14:paraId="7615D0F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社会民主主义</w:t>
            </w:r>
          </w:p>
        </w:tc>
        <w:tc>
          <w:tcPr>
            <w:tcW w:w="1928" w:type="dxa"/>
            <w:shd w:val="clear" w:color="auto" w:fill="E9EFF4"/>
            <w:vAlign w:val="center"/>
          </w:tcPr>
          <w:p w14:paraId="390BCAB4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保守／法团主义</w:t>
            </w:r>
          </w:p>
        </w:tc>
        <w:tc>
          <w:tcPr>
            <w:tcW w:w="1928" w:type="dxa"/>
            <w:shd w:val="clear" w:color="auto" w:fill="E9EFF4"/>
            <w:vAlign w:val="center"/>
          </w:tcPr>
          <w:p w14:paraId="207243AE">
            <w:pPr>
              <w:spacing w:before="40" w:after="60" w:line="252" w:lineRule="auto"/>
              <w:keepLines/>
            </w:pPr>
            <w:r>
              <w:rPr>
                <w:b/>
                <w:color w:val="000000"/>
                <w:sz w:val="19"/>
                <w:szCs w:val="19"/>
                <w:rFonts w:ascii="Calibri" w:hAnsi="Calibri" w:eastAsia="Noto Sans CJK SC"/>
              </w:rPr>
              <w:t>发展型</w:t>
            </w:r>
          </w:p>
        </w:tc>
      </w:tr>
      <w:tr w14:paraId="2229FB58">
        <w:trPr>
          <w:cantSplit/>
          <w:jc w:val="center"/>
        </w:trPr>
        <w:tc>
          <w:tcPr>
            <w:tcW w:w="1928" w:type="dxa"/>
            <w:vAlign w:val="center"/>
          </w:tcPr>
          <w:p w14:paraId="0636FFC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核心逻辑</w:t>
            </w:r>
          </w:p>
        </w:tc>
        <w:tc>
          <w:tcPr>
            <w:tcW w:w="1928" w:type="dxa"/>
            <w:vAlign w:val="center"/>
          </w:tcPr>
          <w:p w14:paraId="278BF10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市场与个人责任</w:t>
            </w:r>
          </w:p>
        </w:tc>
        <w:tc>
          <w:tcPr>
            <w:tcW w:w="1928" w:type="dxa"/>
            <w:vAlign w:val="center"/>
          </w:tcPr>
          <w:p w14:paraId="665E355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普遍权利与平等</w:t>
            </w:r>
          </w:p>
        </w:tc>
        <w:tc>
          <w:tcPr>
            <w:tcW w:w="1928" w:type="dxa"/>
            <w:vAlign w:val="center"/>
          </w:tcPr>
          <w:p w14:paraId="278F9BD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职业、家庭与身份安排</w:t>
            </w:r>
          </w:p>
        </w:tc>
        <w:tc>
          <w:tcPr>
            <w:tcW w:w="1928" w:type="dxa"/>
            <w:vAlign w:val="center"/>
          </w:tcPr>
          <w:p w14:paraId="44271E6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国家主导发展</w:t>
            </w:r>
          </w:p>
        </w:tc>
      </w:tr>
      <w:tr w14:paraId="3E2D101F">
        <w:trPr>
          <w:cantSplit/>
          <w:jc w:val="center"/>
        </w:trPr>
        <w:tc>
          <w:tcPr>
            <w:tcW w:w="1928" w:type="dxa"/>
            <w:vAlign w:val="center"/>
          </w:tcPr>
          <w:p w14:paraId="0C37A7F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国家角色</w:t>
            </w:r>
          </w:p>
        </w:tc>
        <w:tc>
          <w:tcPr>
            <w:tcW w:w="1928" w:type="dxa"/>
            <w:vAlign w:val="center"/>
          </w:tcPr>
          <w:p w14:paraId="331E8379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支持市场与针对性保障</w:t>
            </w:r>
          </w:p>
        </w:tc>
        <w:tc>
          <w:tcPr>
            <w:tcW w:w="1928" w:type="dxa"/>
            <w:vAlign w:val="center"/>
          </w:tcPr>
          <w:p w14:paraId="09E6D187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广泛组织社会保障</w:t>
            </w:r>
          </w:p>
        </w:tc>
        <w:tc>
          <w:tcPr>
            <w:tcW w:w="1928" w:type="dxa"/>
            <w:vAlign w:val="center"/>
          </w:tcPr>
          <w:p w14:paraId="33248BFB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支持社会保险和家庭制度</w:t>
            </w:r>
          </w:p>
        </w:tc>
        <w:tc>
          <w:tcPr>
            <w:tcW w:w="1928" w:type="dxa"/>
            <w:vAlign w:val="center"/>
          </w:tcPr>
          <w:p w14:paraId="3DE213F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规划、协调、动员资源</w:t>
            </w:r>
          </w:p>
        </w:tc>
      </w:tr>
      <w:tr w14:paraId="24D2424D">
        <w:trPr>
          <w:cantSplit/>
          <w:jc w:val="center"/>
        </w:trPr>
        <w:tc>
          <w:tcPr>
            <w:tcW w:w="1928" w:type="dxa"/>
            <w:vAlign w:val="center"/>
          </w:tcPr>
          <w:p w14:paraId="1124226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福利组织</w:t>
            </w:r>
          </w:p>
        </w:tc>
        <w:tc>
          <w:tcPr>
            <w:tcW w:w="1928" w:type="dxa"/>
            <w:vAlign w:val="center"/>
          </w:tcPr>
          <w:p w14:paraId="56825C5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较多选择性、补缺性安排</w:t>
            </w:r>
          </w:p>
        </w:tc>
        <w:tc>
          <w:tcPr>
            <w:tcW w:w="1928" w:type="dxa"/>
            <w:vAlign w:val="center"/>
          </w:tcPr>
          <w:p w14:paraId="1C458022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较强调普遍覆盖</w:t>
            </w:r>
          </w:p>
        </w:tc>
        <w:tc>
          <w:tcPr>
            <w:tcW w:w="1928" w:type="dxa"/>
            <w:vAlign w:val="center"/>
          </w:tcPr>
          <w:p w14:paraId="0D6D8F2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较联系就业、缴费与家庭</w:t>
            </w:r>
          </w:p>
        </w:tc>
        <w:tc>
          <w:tcPr>
            <w:tcW w:w="1928" w:type="dxa"/>
            <w:vAlign w:val="center"/>
          </w:tcPr>
          <w:p w14:paraId="22FC871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需联系发展目标分析</w:t>
            </w:r>
          </w:p>
        </w:tc>
      </w:tr>
      <w:tr w14:paraId="1D9203C1">
        <w:trPr>
          <w:cantSplit/>
          <w:jc w:val="center"/>
        </w:trPr>
        <w:tc>
          <w:tcPr>
            <w:tcW w:w="1928" w:type="dxa"/>
            <w:vAlign w:val="center"/>
          </w:tcPr>
          <w:p w14:paraId="770BDB7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住房重点</w:t>
            </w:r>
          </w:p>
        </w:tc>
        <w:tc>
          <w:tcPr>
            <w:tcW w:w="1928" w:type="dxa"/>
            <w:vAlign w:val="center"/>
          </w:tcPr>
          <w:p w14:paraId="40A9B1C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市场供给与救助资格</w:t>
            </w:r>
          </w:p>
        </w:tc>
        <w:tc>
          <w:tcPr>
            <w:tcW w:w="1928" w:type="dxa"/>
            <w:vAlign w:val="center"/>
          </w:tcPr>
          <w:p w14:paraId="23E674FC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非市场保障与可及性</w:t>
            </w:r>
          </w:p>
        </w:tc>
        <w:tc>
          <w:tcPr>
            <w:tcW w:w="1928" w:type="dxa"/>
            <w:vAlign w:val="center"/>
          </w:tcPr>
          <w:p w14:paraId="325BE57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保险、家庭及具体租赁制度</w:t>
            </w:r>
          </w:p>
        </w:tc>
        <w:tc>
          <w:tcPr>
            <w:tcW w:w="1928" w:type="dxa"/>
            <w:vAlign w:val="center"/>
          </w:tcPr>
          <w:p w14:paraId="3A830288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住房与发展战略</w:t>
            </w:r>
          </w:p>
        </w:tc>
      </w:tr>
      <w:tr w14:paraId="1AE0D822">
        <w:trPr>
          <w:cantSplit/>
          <w:jc w:val="center"/>
        </w:trPr>
        <w:tc>
          <w:tcPr>
            <w:tcW w:w="1928" w:type="dxa"/>
            <w:vAlign w:val="center"/>
          </w:tcPr>
          <w:p w14:paraId="171D17E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不可简化为</w:t>
            </w:r>
          </w:p>
        </w:tc>
        <w:tc>
          <w:tcPr>
            <w:tcW w:w="1928" w:type="dxa"/>
            <w:vAlign w:val="center"/>
          </w:tcPr>
          <w:p w14:paraId="41B38574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完全没有政府</w:t>
            </w:r>
          </w:p>
        </w:tc>
        <w:tc>
          <w:tcPr>
            <w:tcW w:w="1928" w:type="dxa"/>
            <w:vAlign w:val="center"/>
          </w:tcPr>
          <w:p w14:paraId="153FA7DE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人人免费获房</w:t>
            </w:r>
          </w:p>
        </w:tc>
        <w:tc>
          <w:tcPr>
            <w:tcW w:w="1928" w:type="dxa"/>
            <w:vAlign w:val="center"/>
          </w:tcPr>
          <w:p w14:paraId="756BEA13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人人都买房</w:t>
            </w:r>
          </w:p>
        </w:tc>
        <w:tc>
          <w:tcPr>
            <w:tcW w:w="1928" w:type="dxa"/>
            <w:vAlign w:val="center"/>
          </w:tcPr>
          <w:p w14:paraId="36DC5356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干预越多越符合</w:t>
            </w:r>
          </w:p>
        </w:tc>
      </w:tr>
      <w:tr w14:paraId="4F3336E0">
        <w:trPr>
          <w:cantSplit/>
          <w:jc w:val="center"/>
        </w:trPr>
        <w:tc>
          <w:tcPr>
            <w:tcW w:w="1928" w:type="dxa"/>
            <w:vAlign w:val="center"/>
          </w:tcPr>
          <w:p w14:paraId="5DF66CBD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课程案例</w:t>
            </w:r>
          </w:p>
        </w:tc>
        <w:tc>
          <w:tcPr>
            <w:tcW w:w="1928" w:type="dxa"/>
            <w:vAlign w:val="center"/>
          </w:tcPr>
          <w:p w14:paraId="429794C0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美国</w:t>
            </w:r>
          </w:p>
        </w:tc>
        <w:tc>
          <w:tcPr>
            <w:tcW w:w="1928" w:type="dxa"/>
            <w:vAlign w:val="center"/>
          </w:tcPr>
          <w:p w14:paraId="1AAC86D5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瑞典</w:t>
            </w:r>
          </w:p>
        </w:tc>
        <w:tc>
          <w:tcPr>
            <w:tcW w:w="1928" w:type="dxa"/>
            <w:vAlign w:val="center"/>
          </w:tcPr>
          <w:p w14:paraId="775B590F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德国</w:t>
            </w:r>
          </w:p>
        </w:tc>
        <w:tc>
          <w:tcPr>
            <w:tcW w:w="1928" w:type="dxa"/>
            <w:vAlign w:val="center"/>
          </w:tcPr>
          <w:p w14:paraId="503A4C1A">
            <w:pPr>
              <w:spacing w:before="40" w:after="60" w:line="252" w:lineRule="auto"/>
              <w:keepLines/>
            </w:pPr>
            <w:r>
              <w:rPr>
                <w:color w:val="000000"/>
                <w:sz w:val="19"/>
                <w:szCs w:val="19"/>
                <w:rFonts w:ascii="Calibri" w:hAnsi="Calibri" w:eastAsia="Noto Sans CJK SC"/>
              </w:rPr>
              <w:t>日本、台湾地区等</w:t>
            </w:r>
          </w:p>
        </w:tc>
      </w:tr>
    </w:tbl>
    <w:p w14:paraId="149BAB0A">
      <w:pPr>
        <w:spacing w:before="0" w:after="70" w:line="276" w:lineRule="auto"/>
        <w:keepLines/>
      </w:pPr>
    </w:p>
    <w:p w14:paraId="4D3F823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Compare institutional purposes, policy mechanisms and outcomes.</w:t>
      </w:r>
    </w:p>
    <w:p w14:paraId="13299352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比较制度目的、政策机制与实际结果。</w:t>
      </w:r>
    </w:p>
    <w:p w14:paraId="038E9AB5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英文比较题的五步结构</w:t>
      </w:r>
    </w:p>
    <w:p w14:paraId="7E47105F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① Define：定义概念。</w:t>
      </w:r>
    </w:p>
    <w:p w14:paraId="440DDCC4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英文：Welfare regimes differ in how they allocate responsibility among the state, the market and the family.</w:t>
      </w:r>
    </w:p>
    <w:p w14:paraId="3167B91D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中文：福利体制的差异在于如何在国家、市场和家庭之间分配责任。</w:t>
      </w:r>
    </w:p>
    <w:p w14:paraId="52DFF07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② Compare：用共同维度比较。</w:t>
      </w:r>
    </w:p>
    <w:p w14:paraId="4BA6659E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 two cases can be compared in terms of provision, eligibility, financing and allocation.</w:t>
      </w:r>
    </w:p>
    <w:p w14:paraId="1E0535ED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中文：可以从供给、资格、筹资和分配四方面比较两个案例。</w:t>
      </w:r>
    </w:p>
    <w:p w14:paraId="1C58A28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③ Explain：解释机制。</w:t>
      </w:r>
    </w:p>
    <w:p w14:paraId="23BCC8BC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英文：These differences reflect distinct assumptions about social rights and individual responsibility.</w:t>
      </w:r>
    </w:p>
    <w:p w14:paraId="4A8F8DBD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中文：这些差异反映了对社会权利与个人责任的不同理解。</w:t>
      </w:r>
    </w:p>
    <w:p w14:paraId="6F461CEB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④ Evaluate：评价结果。</w:t>
      </w:r>
    </w:p>
    <w:p w14:paraId="6F71057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英文：The analysis should consider affordability, security and the distribution of benefits and risks.</w:t>
      </w:r>
    </w:p>
    <w:p w14:paraId="24CC9A9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中文：分析应考虑可负担性、居住安全，以及收益与风险的分配。</w:t>
      </w:r>
    </w:p>
    <w:p w14:paraId="45003B45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⑤ Qualify：说明局限。</w:t>
      </w:r>
    </w:p>
    <w:p w14:paraId="3724D3DD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英文：However, regime labels do not fully explain variation within countries or changes over time.</w:t>
      </w:r>
    </w:p>
    <w:p w14:paraId="62D6AFF3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中文：体制标签不能完全解释国内差异或随时间发生的变化。</w:t>
      </w:r>
    </w:p>
    <w:p w14:paraId="06EC03E3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自测练习与中英参考答案</w:t>
      </w:r>
    </w:p>
    <w:p w14:paraId="03EA1E9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以下为复习练习，不是预测原题。</w:t>
      </w:r>
    </w:p>
    <w:p w14:paraId="14474394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1. What is decommodification? 什么是去商品化？</w:t>
      </w:r>
    </w:p>
    <w:p w14:paraId="6991957E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英文：Decommodification refers to the extent to which people can maintain a socially acceptable livelihood without complete dependence on market participation.</w:t>
      </w:r>
    </w:p>
    <w:p w14:paraId="5D4921D7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中文：去商品化指人们能够在多大程度上，不完全依赖市场参与而维持社会认可的生活水平。</w:t>
      </w:r>
    </w:p>
    <w:p w14:paraId="34D8790C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关键词：市场依赖程度，而非市场是否存在。</w:t>
      </w:r>
    </w:p>
    <w:p w14:paraId="3431A61A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2. How do tenure and housing career differ? 占有形式与住房生涯有何区别？</w:t>
      </w:r>
    </w:p>
    <w:p w14:paraId="3DE601F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英文：Tenure refers to a household’s housing arrangement at a particular time. A housing career refers to changes in housing circumstances over the life course.</w:t>
      </w:r>
    </w:p>
    <w:p w14:paraId="1D8EA22C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中文：占有形式指家庭某一时点的居住安排；住房生涯指生命周期中住房状况的变化。</w:t>
      </w:r>
    </w:p>
    <w:p w14:paraId="31B87BCA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关键词：某一时点与随时间变化。</w:t>
      </w:r>
    </w:p>
    <w:p w14:paraId="23711A7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3. Why is government intervention insufficient to identify a developmental state? 为什么仅凭政府干预不能判断发展型国家？</w:t>
      </w:r>
    </w:p>
    <w:p w14:paraId="247FD3AE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英文：Government intervention exists in different regimes. A developmental-state analysis must examine how intervention mobilises resources and coordinates policies towards development goals.</w:t>
      </w:r>
    </w:p>
    <w:p w14:paraId="6945CBB6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中文：不同体制都存在政府干预。发展型国家分析需考察干预如何动员资源，并协调政策实现发展目标。</w:t>
      </w:r>
    </w:p>
    <w:p w14:paraId="6B72322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关键词：目的与机制。</w:t>
      </w:r>
    </w:p>
    <w:p w14:paraId="352C0821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4. Why is homeownership an incomplete indicator of housing welfare? 为什么自有率是不完整的住房福利指标？</w:t>
      </w:r>
    </w:p>
    <w:p w14:paraId="563EF2D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英文：Homeownership rates do not directly reveal affordability, debt burdens, housing quality or security in the rental sector.</w:t>
      </w:r>
    </w:p>
    <w:p w14:paraId="3D708F54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中文：住房自有率不能直接说明可负担性、债务负担、住房质量或租赁部门的居住保障。</w:t>
      </w:r>
    </w:p>
    <w:p w14:paraId="35226A9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关键词：一个比例不能代表所有住房结果。</w:t>
      </w:r>
    </w:p>
    <w:p w14:paraId="1FE285E9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5. What does the smart-city word cloud demonstrate? 词云能说明什么？</w:t>
      </w:r>
    </w:p>
    <w:p w14:paraId="481F81F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英文：It illustrates differences in the emphasis of the sampled policy texts. It does not by itself demonstrate implementation, effectiveness or causation.</w:t>
      </w:r>
    </w:p>
    <w:p w14:paraId="1DC8FAE5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中文：它展示所选政策文本的表达重点差异，本身不能证明实施情况、政策成效或因果关系。</w:t>
      </w:r>
    </w:p>
    <w:p w14:paraId="4896E058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关键词：文本重点与实际结果。</w:t>
      </w:r>
    </w:p>
    <w:p w14:paraId="679A36CD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6. What tensions can arise in cultural policy? 文化政策可能出现哪些张力？</w:t>
      </w:r>
    </w:p>
    <w:p w14:paraId="5952276F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英文：Cultural policy may need to balance public access, commercial sustainability and artistic freedom. These objectives can support one another, but they may also conflict.</w:t>
      </w:r>
    </w:p>
    <w:p w14:paraId="2DA716E1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中文：文化政策可能需要协调公众可及性、商业可持续性与艺术自由，目标既可能互相支持，也可能冲突。</w:t>
      </w:r>
    </w:p>
    <w:p w14:paraId="490832C7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关键词：公共服务、生计商业、表达自由。</w:t>
      </w:r>
    </w:p>
    <w:p w14:paraId="3D707AAC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建议复习顺序</w:t>
      </w:r>
    </w:p>
    <w:p w14:paraId="4527A563">
      <w:pPr>
        <w:pStyle w:val="1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第3—6、9页：四种体制、去商品化、社会分层与国家—市场—家庭关系。</w:t>
      </w:r>
    </w:p>
    <w:p w14:paraId="45A367F9">
      <w:pPr>
        <w:pStyle w:val="1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第7—14页：公共供给、社会住房、私人所有、自住、tenure与career，并练习第12页读图。</w:t>
      </w:r>
    </w:p>
    <w:p w14:paraId="135D361E">
      <w:pPr>
        <w:pStyle w:val="1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第15—23页：公共性、智慧城市六维度、词云局限与文化政策三方面。</w:t>
      </w:r>
    </w:p>
    <w:p w14:paraId="5BAFA5AE">
      <w:pPr>
        <w:pStyle w:val="1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第24—32页及大纲：测试安排、评分、引用与提交要求。</w:t>
      </w:r>
    </w:p>
    <w:p w14:paraId="6F6A2BEB">
      <w:pPr>
        <w:spacing w:before="0" w:after="70" w:line="276" w:lineRule="auto"/>
        <w:keepLines/>
      </w:pPr>
      <w:r>
        <w:rPr>
          <w:b/>
          <w:color w:val="000000"/>
          <w:sz w:val="21"/>
          <w:szCs w:val="21"/>
          <w:rFonts w:ascii="Calibri" w:hAnsi="Calibri" w:eastAsia="Noto Sans CJK SC"/>
        </w:rPr>
        <w:t>自检标准：先用中文解释清楚，再用两三句英文准确表达，并举一个与制度逻辑有关的例子。</w:t>
      </w:r>
    </w:p>
    <w:p w14:paraId="44FA62AA">
      <w:pPr>
        <w:pStyle w:val="4"/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事实更正所用官方资料</w:t>
      </w:r>
    </w:p>
    <w:p w14:paraId="2C7962D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[1] HUD. Federal Housing Administration History. https://www.hud.gov/aboutus/fhahistory （FHA于1934年成立）</w:t>
      </w:r>
    </w:p>
    <w:p w14:paraId="2A67B20A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[2] FDR Presidential Library &amp; Museum. FDR and Housing Legislation. https://www.fdrlibrary.org/housing （1937年法案与USHA）</w:t>
      </w:r>
    </w:p>
    <w:p w14:paraId="5222C958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[3] CMHC. CMHC’s Story. https://www.cmhc-schl.gc.ca/about-us/cmhcs-story （CMHC于1946年成立）</w:t>
      </w:r>
    </w:p>
    <w:p w14:paraId="5BF41C30">
      <w:pPr>
        <w:spacing w:before="0" w:after="70" w:line="276" w:lineRule="auto"/>
        <w:keepLines/>
      </w:pPr>
      <w:r>
        <w:rPr>
          <w:color w:val="000000"/>
          <w:sz w:val="21"/>
          <w:szCs w:val="21"/>
          <w:rFonts w:ascii="Calibri" w:hAnsi="Calibri" w:eastAsia="Noto Sans CJK SC"/>
        </w:rPr>
        <w:t>[4] Boverket. Attraktiva miljonprogramsområden: platskvalitet med ökad delaktighet. https://www.boverket.se/sv/om-boverket/publikationer/2015/attraktiva-miljonprogramsomraden-platskvalitet-med-okad-delaktighet/ （百万住宅计划包含不同产权及建筑类型）</w:t>
      </w:r>
    </w:p>
    <w:sectPr w:rsidR="00FC693F" w:rsidRPr="0006063C" w:rsidSect="00034616">
      <w:headerReference w:type="default" r:id="rId77"/>
      <w:pgSz w:w="11906" w:h="16838"/>
      <w:pgMar w:top="822" w:right="935" w:bottom="794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  <w:szCs w:val="16"/>
        <w:rFonts w:ascii="Calibri" w:hAnsi="Calibri" w:eastAsia="Noto Sans CJK SC"/>
      </w:rPr>
      <w:t xml:space="preserve">Word 第 </w:t>
    </w:r>
    <w:fldSimple w:instr="PAGE"/>
    <w:r>
      <w:rPr>
        <w:color w:val="000000"/>
        <w:sz w:val="16"/>
        <w:szCs w:val="16"/>
        <w:rFonts w:ascii="Calibri" w:hAnsi="Calibri" w:eastAsia="Noto Sans CJK SC"/>
      </w:rPr>
      <w:t xml:space="preserve"> 页｜原PPT页码见页眉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PIA5701｜原PPT第01页（含知识点续页）｜知识点正文黑色，少量红字提示核心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PIA5701｜原PPT第02页（含知识点续页）｜知识点正文黑色，少量红字提示核心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PIA5701｜原PPT第03页（含知识点续页）｜知识点正文黑色，少量红字提示核心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PIA5701｜原PPT第04页（含知识点续页）｜知识点正文黑色，少量红字提示核心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PIA5701｜原PPT第05页（含知识点续页）｜知识点正文黑色，少量红字提示核心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PIA5701｜原PPT第06页（含知识点续页）｜知识点正文黑色，少量红字提示核心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PIA5701｜原PPT第07页（含知识点续页）｜知识点正文黑色，少量红字提示核心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PIA5701｜原PPT第08页（含知识点续页）｜知识点正文黑色，少量红字提示核心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PIA5701｜原PPT第09页（含知识点续页）｜知识点正文黑色，少量红字提示核心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PIA5701｜原PPT第10页（含知识点续页）｜知识点正文黑色，少量红字提示核心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PIA5701｜原PPT第11页（含知识点续页）｜知识点正文黑色，少量红字提示核心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PIA5701｜原PPT第12页（含知识点续页）｜知识点正文黑色，少量红字提示核心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PIA5701｜原PPT第13页（含知识点续页）｜知识点正文黑色，少量红字提示核心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PIA5701｜原PPT第14页（含知识点续页）｜知识点正文黑色，少量红字提示核心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PIA5701｜原PPT第15页（含知识点续页）｜知识点正文黑色，少量红字提示核心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PIA5701｜原PPT第16页（含知识点续页）｜知识点正文黑色，少量红字提示核心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PIA5701｜原PPT第17页（含知识点续页）｜知识点正文黑色，少量红字提示核心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PIA5701｜原PPT第18页（含知识点续页）｜知识点正文黑色，少量红字提示核心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PIA5701｜原PPT第19页（含知识点续页）｜知识点正文黑色，少量红字提示核心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PIA5701｜原PPT第20页（含知识点续页）｜知识点正文黑色，少量红字提示核心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PIA5701｜原PPT第21页（含知识点续页）｜知识点正文黑色，少量红字提示核心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PIA5701｜原PPT第22页（含知识点续页）｜知识点正文黑色，少量红字提示核心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PIA5701｜原PPT第23页（含知识点续页）｜知识点正文黑色，少量红字提示核心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PIA5701｜原PPT第24页（含知识点续页）｜知识点正文黑色，少量红字提示核心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PIA5701｜原PPT第25页（含知识点续页）｜知识点正文黑色，少量红字提示核心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PIA5701｜原PPT第26页（含知识点续页）｜知识点正文黑色，少量红字提示核心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PIA5701｜原PPT第27页（含知识点续页）｜知识点正文黑色，少量红字提示核心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PIA5701｜原PPT第28页（含知识点续页）｜知识点正文黑色，少量红字提示核心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PIA5701｜原PPT第29页（含知识点续页）｜知识点正文黑色，少量红字提示核心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PIA5701｜原PPT第30页（含知识点续页）｜知识点正文黑色，少量红字提示核心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PIA5701｜原PPT第31页（含知识点续页）｜知识点正文黑色，少量红字提示核心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PIA5701｜原PPT第32页（含知识点续页）｜知识点正文黑色，少量红字提示核心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PIA5701｜原PPT第33页（含知识点续页）｜知识点正文黑色，少量红字提示核心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PIA5701｜附录A｜原资料的课程大纲补充｜知识点正文黑色，少量红字提示核心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  <w:szCs w:val="16"/>
        <w:rFonts w:ascii="Calibri" w:hAnsi="Calibri" w:eastAsia="Noto Sans CJK SC"/>
        <w:b w:val="0"/>
      </w:rPr>
      <w:t>PIA5701｜附录B｜原资料的比较表、纠错与答题练习｜知识点正文黑色，少量红字提示核心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 w:eastAsia="Noto Sans CJK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8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header" Target="header2.xml"/><Relationship Id="rId45" Type="http://schemas.openxmlformats.org/officeDocument/2006/relationships/header" Target="header3.xml"/><Relationship Id="rId46" Type="http://schemas.openxmlformats.org/officeDocument/2006/relationships/header" Target="header4.xml"/><Relationship Id="rId47" Type="http://schemas.openxmlformats.org/officeDocument/2006/relationships/header" Target="header5.xml"/><Relationship Id="rId48" Type="http://schemas.openxmlformats.org/officeDocument/2006/relationships/header" Target="header6.xml"/><Relationship Id="rId49" Type="http://schemas.openxmlformats.org/officeDocument/2006/relationships/header" Target="header7.xml"/><Relationship Id="rId50" Type="http://schemas.openxmlformats.org/officeDocument/2006/relationships/header" Target="header8.xml"/><Relationship Id="rId51" Type="http://schemas.openxmlformats.org/officeDocument/2006/relationships/header" Target="header9.xml"/><Relationship Id="rId52" Type="http://schemas.openxmlformats.org/officeDocument/2006/relationships/header" Target="header10.xml"/><Relationship Id="rId53" Type="http://schemas.openxmlformats.org/officeDocument/2006/relationships/header" Target="header11.xml"/><Relationship Id="rId54" Type="http://schemas.openxmlformats.org/officeDocument/2006/relationships/header" Target="header12.xml"/><Relationship Id="rId55" Type="http://schemas.openxmlformats.org/officeDocument/2006/relationships/header" Target="header13.xml"/><Relationship Id="rId56" Type="http://schemas.openxmlformats.org/officeDocument/2006/relationships/header" Target="header14.xml"/><Relationship Id="rId57" Type="http://schemas.openxmlformats.org/officeDocument/2006/relationships/header" Target="header15.xml"/><Relationship Id="rId58" Type="http://schemas.openxmlformats.org/officeDocument/2006/relationships/header" Target="header16.xml"/><Relationship Id="rId59" Type="http://schemas.openxmlformats.org/officeDocument/2006/relationships/header" Target="header17.xml"/><Relationship Id="rId60" Type="http://schemas.openxmlformats.org/officeDocument/2006/relationships/header" Target="header18.xml"/><Relationship Id="rId61" Type="http://schemas.openxmlformats.org/officeDocument/2006/relationships/header" Target="header19.xml"/><Relationship Id="rId62" Type="http://schemas.openxmlformats.org/officeDocument/2006/relationships/header" Target="header20.xml"/><Relationship Id="rId63" Type="http://schemas.openxmlformats.org/officeDocument/2006/relationships/header" Target="header21.xml"/><Relationship Id="rId64" Type="http://schemas.openxmlformats.org/officeDocument/2006/relationships/header" Target="header22.xml"/><Relationship Id="rId65" Type="http://schemas.openxmlformats.org/officeDocument/2006/relationships/header" Target="header23.xml"/><Relationship Id="rId66" Type="http://schemas.openxmlformats.org/officeDocument/2006/relationships/header" Target="header24.xml"/><Relationship Id="rId67" Type="http://schemas.openxmlformats.org/officeDocument/2006/relationships/header" Target="header25.xml"/><Relationship Id="rId68" Type="http://schemas.openxmlformats.org/officeDocument/2006/relationships/header" Target="header26.xml"/><Relationship Id="rId69" Type="http://schemas.openxmlformats.org/officeDocument/2006/relationships/header" Target="header27.xml"/><Relationship Id="rId70" Type="http://schemas.openxmlformats.org/officeDocument/2006/relationships/header" Target="header28.xml"/><Relationship Id="rId71" Type="http://schemas.openxmlformats.org/officeDocument/2006/relationships/header" Target="header29.xml"/><Relationship Id="rId72" Type="http://schemas.openxmlformats.org/officeDocument/2006/relationships/header" Target="header30.xml"/><Relationship Id="rId73" Type="http://schemas.openxmlformats.org/officeDocument/2006/relationships/header" Target="header31.xml"/><Relationship Id="rId74" Type="http://schemas.openxmlformats.org/officeDocument/2006/relationships/header" Target="header32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header" Target="header3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PIA5701 原资料合并版：截图翻译保留，知识点原文并入</dc:title>
  <dc:subject>用户提供知识点按原PPT页合并；黑色正文与少量红色重点</dc:subject>
  <dc:creator>课程复习资料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