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 C — Two-minute presentation script</w:t>
      </w:r>
    </w:p>
    <w:p>
      <w:r>
        <w:t>201 English words. Suggested delivery: approximately 1 minute 50 seconds at 120 words per minute, including short pauses. Rehearse with a timer; finish within two minutes.</w:t>
      </w:r>
    </w:p>
    <w:p>
      <w:r>
        <w:t>使用说明：仅三页内容页，可直接接在组员B后面。无单独封面或结束页；不需要口述来源、公式推导或完整图例。讲稿也已放入每页PPT备注。</w:t>
      </w:r>
    </w:p>
    <w:p>
      <w:pPr>
        <w:pStyle w:val="Heading1"/>
      </w:pPr>
      <w:r>
        <w:t>Slide 1 | 0:00–0:35</w:t>
      </w:r>
    </w:p>
    <w:p>
      <w:r>
        <w:t>My part explains how the National Insurance cuts affect economic efficiency. First, they increase the reward from additional work. With income tax fixed at twenty per cent, employees retain sixty-eight, seventy and then seventy-two pence from each extra pound earned. The combined increase is about five point nine per cent. This calculation applies to earnings within the main National Insurance band. It shows how the policy strengthens financial incentives.</w:t>
      </w:r>
    </w:p>
    <w:p>
      <w:r>
        <w:t>中文提示：说明68p→70p→72p；5.9%是税后保留额的相对增幅。</w:t>
      </w:r>
    </w:p>
    <w:p>
      <w:pPr>
        <w:pStyle w:val="Heading1"/>
      </w:pPr>
      <w:r>
        <w:t>Slide 2 | 0:35–1:10</w:t>
      </w:r>
    </w:p>
    <w:p>
      <w:r>
        <w:t>However, two effects influence working hours. The substitution effect makes leisure more expensive because an hour away from work now sacrifices more income. This encourages additional work. The income effect operates in the opposite direction: higher disposable income allows people to enjoy more leisure. The final response depends on their relative strength. We should also distinguish entering employment from changing hours among existing workers.</w:t>
      </w:r>
    </w:p>
    <w:p>
      <w:r>
        <w:t>中文提示：说明替代效应鼓励工作，收入效应可能增加休闲；不用逐条解释五条线。</w:t>
      </w:r>
    </w:p>
    <w:p>
      <w:pPr>
        <w:pStyle w:val="Heading1"/>
      </w:pPr>
      <w:r>
        <w:t>Slide 3 | 1:10–1:45</w:t>
      </w:r>
    </w:p>
    <w:p>
      <w:r>
        <w:t>Finally, the Laffer curve links tax rates with the taxable base. Stronger work incentives can expand that base and recover some lost revenue. The OBR projected a labour-supply increase equivalent to ninety-eight thousand full-time workers and approximately twenty per cent recovery of the March measures’ static fiscal cost. My conclusion is that the cuts have a credible incentive rationale, while their overall value also depends on sustainable financing.</w:t>
      </w:r>
    </w:p>
    <w:p>
      <w:r>
        <w:t>中文提示：说明税基可能扩大、收入损失部分回补；98,000 FTE和20%均为OBR预测。</w:t>
      </w:r>
    </w:p>
    <w:p>
      <w:r>
        <w:t>预留约15秒用于换页和停顿。若语速低于每分钟约110词，应进一步练习或删去第一段最后一句和第三段关于98,000 FTE的一小句。</w:t>
      </w:r>
    </w:p>
    <w:p>
      <w:pPr>
        <w:pStyle w:val="Heading1"/>
      </w:pPr>
      <w:r>
        <w:t>Core references</w:t>
      </w:r>
    </w:p>
    <w:p>
      <w:r>
        <w:t>HM Revenue &amp; Customs (2024) Reduction to the main rates of primary Class 1 and Class 4 National Insurance contributions. https://www.gov.uk/government/publications/changes-to-national-insurance-contributions-from-6-april-2024/reduction-to-the-main-rates-of-primary-class-1-and-class-4-national-insurance-contributions</w:t>
      </w:r>
    </w:p>
    <w:p>
      <w:r>
        <w:t>Meghir, C. and Phillips, D. (2010) ‘Labour supply and taxes’, in Mirrlees, J. et al. (eds.) Dimensions of Tax Design: The Mirrlees Review. Oxford: Oxford University Press, pp. 202–274. https://ifs.org.uk/books/labour-supply-and-taxes-0</w:t>
      </w:r>
    </w:p>
    <w:p>
      <w:r>
        <w:t>Hemming, R. and Kay, J.A. (1980) ‘The Laffer curve’, Fiscal Studies, 1(2), pp. 83–90. https://doi.org/10.1111/j.1475-5890.1980.tb00554.x</w:t>
      </w:r>
    </w:p>
    <w:p>
      <w:r>
        <w:t>Office for Budget Responsibility (2024) Economic and fiscal outlook – March 2024. CP 1027. https://obr.uk/efo/economic-and-fiscal-outlook-march-2024/ (paras. 3.9–3.10).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