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27135D" w14:textId="0F008EF5" w:rsidR="00884C08" w:rsidRDefault="00884C08" w:rsidP="00884C08">
      <w:pPr>
        <w:pStyle w:val="Heading1"/>
      </w:pPr>
      <w:r>
        <w:t>1AC – Washburn KN</w:t>
      </w:r>
    </w:p>
    <w:p w14:paraId="52577F5D" w14:textId="394C52E7" w:rsidR="00752776" w:rsidRPr="00752776" w:rsidRDefault="00752776" w:rsidP="00752776">
      <w:pPr>
        <w:pStyle w:val="Heading2"/>
      </w:pPr>
      <w:bookmarkStart w:id="0" w:name="_m6h52ihphmsy" w:colFirst="0" w:colLast="0"/>
      <w:bookmarkEnd w:id="0"/>
      <w:r>
        <w:lastRenderedPageBreak/>
        <w:t>CASE</w:t>
      </w:r>
      <w:r w:rsidR="00884C08" w:rsidRPr="00B4170C">
        <w:rPr>
          <w:rFonts w:eastAsia="Calibri"/>
        </w:rPr>
        <w:t>​​</w:t>
      </w:r>
    </w:p>
    <w:p w14:paraId="20A256E9" w14:textId="1124F855" w:rsidR="00884C08" w:rsidRPr="00B4170C" w:rsidRDefault="00884C08" w:rsidP="00884C08">
      <w:pPr>
        <w:pStyle w:val="Heading4"/>
        <w:spacing w:before="0" w:line="240" w:lineRule="auto"/>
        <w:rPr>
          <w:rFonts w:eastAsia="Calibri" w:cs="Calibri"/>
          <w:color w:val="000000"/>
          <w:szCs w:val="26"/>
        </w:rPr>
      </w:pPr>
      <w:r w:rsidRPr="00B4170C">
        <w:rPr>
          <w:rFonts w:eastAsia="Calibri" w:cs="Calibri"/>
          <w:color w:val="000000"/>
          <w:szCs w:val="26"/>
        </w:rPr>
        <w:t xml:space="preserve">Plan Text: The United States federal government should recognize and fund the operation of Indigenous Protected and Conserved Areas (ICPAs), Indigenous Controlled Conservation Areas (ICCAs), and Indigenous Guardianship programs in the Arctic </w:t>
      </w:r>
      <w:bookmarkStart w:id="1" w:name="_rirkn9y031jf" w:colFirst="0" w:colLast="0"/>
      <w:bookmarkEnd w:id="1"/>
    </w:p>
    <w:p w14:paraId="77A87EFA" w14:textId="265B9AC5" w:rsidR="00B4170C" w:rsidRDefault="00B4170C" w:rsidP="00B4170C">
      <w:pPr>
        <w:pStyle w:val="Heading3"/>
        <w:rPr>
          <w:rFonts w:eastAsia="Calibri"/>
        </w:rPr>
      </w:pPr>
      <w:bookmarkStart w:id="2" w:name="_54rtfciubbxv" w:colFirst="0" w:colLast="0"/>
      <w:bookmarkEnd w:id="2"/>
      <w:r>
        <w:rPr>
          <w:rFonts w:eastAsia="Calibri"/>
        </w:rPr>
        <w:lastRenderedPageBreak/>
        <w:t>Sol</w:t>
      </w:r>
      <w:bookmarkStart w:id="3" w:name="_GoBack"/>
      <w:bookmarkEnd w:id="3"/>
      <w:r>
        <w:rPr>
          <w:rFonts w:eastAsia="Calibri"/>
        </w:rPr>
        <w:t>vency</w:t>
      </w:r>
    </w:p>
    <w:p w14:paraId="0EECF60C" w14:textId="35C23CEF" w:rsidR="00884C08" w:rsidRDefault="00884C08" w:rsidP="00884C08">
      <w:pPr>
        <w:pStyle w:val="Heading4"/>
        <w:spacing w:before="0" w:line="240" w:lineRule="auto"/>
        <w:rPr>
          <w:rFonts w:eastAsia="Calibri" w:cs="Calibri"/>
          <w:color w:val="000000"/>
          <w:szCs w:val="26"/>
        </w:rPr>
      </w:pPr>
      <w:r>
        <w:rPr>
          <w:rFonts w:eastAsia="Calibri" w:cs="Calibri"/>
          <w:color w:val="000000"/>
          <w:szCs w:val="26"/>
        </w:rPr>
        <w:t xml:space="preserve">Recognizing and funding IPCAs is a process of co-management that puts </w:t>
      </w:r>
      <w:r>
        <w:rPr>
          <w:rFonts w:eastAsia="Calibri" w:cs="Calibri"/>
          <w:color w:val="000000"/>
          <w:szCs w:val="26"/>
          <w:u w:val="single"/>
        </w:rPr>
        <w:t>decision-making, implementation, and enforcement in the hands</w:t>
      </w:r>
      <w:r>
        <w:rPr>
          <w:rFonts w:eastAsia="Calibri" w:cs="Calibri"/>
          <w:color w:val="000000"/>
          <w:szCs w:val="26"/>
        </w:rPr>
        <w:t xml:space="preserve"> of local Indigenous communities.</w:t>
      </w:r>
    </w:p>
    <w:p w14:paraId="33A7F630" w14:textId="77777777" w:rsidR="00884C08" w:rsidRDefault="00884C08" w:rsidP="00884C08">
      <w:pPr>
        <w:spacing w:line="240" w:lineRule="auto"/>
        <w:rPr>
          <w:rFonts w:eastAsia="Calibri"/>
        </w:rPr>
      </w:pPr>
      <w:r>
        <w:rPr>
          <w:rFonts w:eastAsia="Calibri"/>
          <w:b/>
          <w:bCs/>
          <w:u w:val="single"/>
        </w:rPr>
        <w:t>Wells et al 2020</w:t>
      </w:r>
      <w:r>
        <w:rPr>
          <w:rFonts w:eastAsia="Calibri"/>
        </w:rPr>
        <w:t xml:space="preserve">  [“The State of Conservation in North America’s Boreal Forest: Issues and Opportunities”. Jeffrey V. Wells, Natalie Dawson, Nada Culver, Frederic A. Reid, Shaunna Morgan Siegers. 30th July 2020 doi: 10.3389/ffgc.2020.00090] </w:t>
      </w:r>
    </w:p>
    <w:p w14:paraId="4D9C6262" w14:textId="77777777" w:rsidR="00884C08" w:rsidRDefault="00884C08" w:rsidP="00884C08">
      <w:pPr>
        <w:spacing w:line="240" w:lineRule="auto"/>
        <w:rPr>
          <w:rFonts w:eastAsia="Calibri"/>
          <w:sz w:val="24"/>
          <w:szCs w:val="24"/>
          <w:highlight w:val="yellow"/>
          <w:u w:val="single"/>
        </w:rPr>
      </w:pPr>
      <w:r>
        <w:rPr>
          <w:rFonts w:eastAsia="Calibri"/>
        </w:rPr>
        <w:t xml:space="preserve">INDIGENOUS-LED CONSERVATION </w:t>
      </w:r>
      <w:r>
        <w:rPr>
          <w:rFonts w:eastAsia="Calibri"/>
          <w:highlight w:val="yellow"/>
          <w:u w:val="single"/>
        </w:rPr>
        <w:t>Indigenous governments</w:t>
      </w:r>
      <w:r>
        <w:rPr>
          <w:rFonts w:eastAsia="Calibri"/>
          <w:u w:val="single"/>
        </w:rPr>
        <w:t xml:space="preserve"> across the Boreal Forest biome of Canada are</w:t>
      </w:r>
      <w:r>
        <w:rPr>
          <w:rFonts w:eastAsia="Calibri"/>
          <w:sz w:val="24"/>
          <w:szCs w:val="24"/>
          <w:highlight w:val="yellow"/>
          <w:u w:val="single"/>
        </w:rPr>
        <w:t xml:space="preserve"> leading</w:t>
      </w:r>
      <w:r>
        <w:rPr>
          <w:rFonts w:eastAsia="Calibri"/>
          <w:sz w:val="24"/>
          <w:szCs w:val="24"/>
          <w:u w:val="single"/>
        </w:rPr>
        <w:t xml:space="preserve"> in many of the </w:t>
      </w:r>
      <w:r>
        <w:rPr>
          <w:rFonts w:eastAsia="Calibri"/>
          <w:sz w:val="24"/>
          <w:szCs w:val="24"/>
          <w:highlight w:val="yellow"/>
          <w:u w:val="single"/>
        </w:rPr>
        <w:t>most modern</w:t>
      </w:r>
      <w:r>
        <w:rPr>
          <w:rFonts w:eastAsia="Calibri"/>
          <w:sz w:val="24"/>
          <w:szCs w:val="24"/>
          <w:u w:val="single"/>
        </w:rPr>
        <w:t>, cutting edge land and</w:t>
      </w:r>
      <w:r>
        <w:rPr>
          <w:rFonts w:eastAsia="Calibri"/>
          <w:sz w:val="24"/>
          <w:szCs w:val="24"/>
          <w:highlight w:val="yellow"/>
          <w:u w:val="single"/>
        </w:rPr>
        <w:t xml:space="preserve"> wildlife management plans</w:t>
      </w:r>
      <w:r>
        <w:rPr>
          <w:rFonts w:eastAsia="Calibri"/>
          <w:sz w:val="24"/>
          <w:szCs w:val="24"/>
          <w:u w:val="single"/>
        </w:rPr>
        <w:t xml:space="preserve"> and models </w:t>
      </w:r>
      <w:r>
        <w:rPr>
          <w:rFonts w:eastAsia="Calibri"/>
          <w:sz w:val="24"/>
          <w:szCs w:val="24"/>
          <w:highlight w:val="yellow"/>
          <w:u w:val="single"/>
        </w:rPr>
        <w:t xml:space="preserve">in the world </w:t>
      </w:r>
      <w:r>
        <w:rPr>
          <w:rFonts w:eastAsia="Calibri"/>
          <w:sz w:val="16"/>
          <w:szCs w:val="16"/>
        </w:rPr>
        <w:t>(International Boreal Conservation Science Panel, 2013; Wells et al., 2013; Carlson et al., 2015). Land-use plans developed by Indigenous governments cover vast regions involving hundreds of thousands of hectares of habitat (Wells et al., 2014). The recommendations for protected areas and sustainable development zones in these landscape plans are some of the most significant conservation efforts ongoing in North America and the world. In 2018, the Canadian federal government announced $175 million in new funds (Target 1 Challenge Funds as mentioned above) to support new protected areas proposals, including those led by Indigenous governments. New</w:t>
      </w:r>
      <w:r>
        <w:rPr>
          <w:rFonts w:eastAsia="Calibri"/>
          <w:u w:val="single"/>
        </w:rPr>
        <w:t xml:space="preserve"> Indigenous land-use plans and protected areas proposals </w:t>
      </w:r>
      <w:r>
        <w:rPr>
          <w:rFonts w:eastAsia="Calibri"/>
          <w:sz w:val="16"/>
          <w:szCs w:val="16"/>
        </w:rPr>
        <w:t>(often termed Indigenous Protected and Conserved Areas</w:t>
      </w:r>
      <w:r>
        <w:rPr>
          <w:rFonts w:eastAsia="Calibri"/>
        </w:rPr>
        <w:t xml:space="preserve">) </w:t>
      </w:r>
      <w:r>
        <w:rPr>
          <w:rFonts w:eastAsia="Calibri"/>
          <w:sz w:val="24"/>
          <w:szCs w:val="24"/>
          <w:u w:val="single"/>
        </w:rPr>
        <w:t xml:space="preserve">for areas within the Boreal Forest biome continue to be announced and developed. </w:t>
      </w:r>
      <w:r>
        <w:rPr>
          <w:rFonts w:eastAsia="Calibri"/>
        </w:rPr>
        <w:t xml:space="preserve">  EXAMPLE INDIGENOUS LARGE-SCALE LAND-USE PLANS AND PROTECTED AND CONSERVED AREAS PROPOSALS </w:t>
      </w:r>
      <w:r>
        <w:rPr>
          <w:rFonts w:eastAsia="Calibri"/>
          <w:u w:val="single"/>
        </w:rPr>
        <w:t xml:space="preserve">The </w:t>
      </w:r>
      <w:r>
        <w:rPr>
          <w:rFonts w:eastAsia="Calibri"/>
          <w:sz w:val="24"/>
          <w:szCs w:val="24"/>
          <w:highlight w:val="yellow"/>
          <w:u w:val="single"/>
        </w:rPr>
        <w:t>Łutsël K’e Dene First Nation</w:t>
      </w:r>
      <w:r>
        <w:rPr>
          <w:rFonts w:eastAsia="Calibri"/>
          <w:sz w:val="24"/>
          <w:szCs w:val="24"/>
          <w:u w:val="single"/>
        </w:rPr>
        <w:t xml:space="preserve"> in the Northwest Territories is </w:t>
      </w:r>
      <w:r>
        <w:rPr>
          <w:rFonts w:eastAsia="Calibri"/>
          <w:sz w:val="24"/>
          <w:szCs w:val="24"/>
          <w:highlight w:val="yellow"/>
          <w:u w:val="single"/>
        </w:rPr>
        <w:t>implementing</w:t>
      </w:r>
      <w:r>
        <w:rPr>
          <w:rFonts w:eastAsia="Calibri"/>
          <w:sz w:val="24"/>
          <w:szCs w:val="24"/>
          <w:u w:val="single"/>
        </w:rPr>
        <w:t xml:space="preserve"> a conservation plan for their traditional territory. </w:t>
      </w:r>
      <w:r>
        <w:rPr>
          <w:rFonts w:eastAsia="Calibri"/>
          <w:sz w:val="16"/>
          <w:szCs w:val="16"/>
        </w:rPr>
        <w:t xml:space="preserve">On August 21st 2019, the Łutsël K’e Dene First Nation signed an agreement with the Parks Canada Agency and the Government of the Northwest Territories to permanently protect 26,376 km2 of boreal lands. The entire area, called Thaidene Nëné, is </w:t>
      </w:r>
      <w:r>
        <w:rPr>
          <w:rFonts w:eastAsia="Calibri"/>
          <w:u w:val="single"/>
        </w:rPr>
        <w:t>an</w:t>
      </w:r>
      <w:r>
        <w:rPr>
          <w:rFonts w:eastAsia="Calibri"/>
          <w:sz w:val="24"/>
          <w:szCs w:val="24"/>
          <w:highlight w:val="yellow"/>
          <w:u w:val="single"/>
        </w:rPr>
        <w:t xml:space="preserve"> Indigenous Protected and Conserved Area.</w:t>
      </w:r>
      <w:r>
        <w:rPr>
          <w:rFonts w:eastAsia="Calibri"/>
          <w:sz w:val="24"/>
          <w:szCs w:val="24"/>
          <w:u w:val="single"/>
        </w:rPr>
        <w:t xml:space="preserve"> Parts of it are </w:t>
      </w:r>
      <w:r>
        <w:rPr>
          <w:rFonts w:eastAsia="Calibri"/>
          <w:sz w:val="24"/>
          <w:szCs w:val="24"/>
          <w:highlight w:val="yellow"/>
          <w:u w:val="single"/>
        </w:rPr>
        <w:t>also</w:t>
      </w:r>
      <w:r>
        <w:rPr>
          <w:rFonts w:eastAsia="Calibri"/>
          <w:sz w:val="24"/>
          <w:szCs w:val="24"/>
          <w:u w:val="single"/>
        </w:rPr>
        <w:t xml:space="preserve"> designated as a national park, territorial park and </w:t>
      </w:r>
      <w:r>
        <w:rPr>
          <w:rFonts w:eastAsia="Calibri"/>
          <w:sz w:val="24"/>
          <w:szCs w:val="24"/>
          <w:highlight w:val="yellow"/>
          <w:u w:val="single"/>
        </w:rPr>
        <w:t>wildlife conservation are</w:t>
      </w:r>
      <w:r>
        <w:rPr>
          <w:rFonts w:eastAsia="Calibri"/>
          <w:highlight w:val="yellow"/>
        </w:rPr>
        <w:t>a</w:t>
      </w:r>
      <w:r>
        <w:rPr>
          <w:rFonts w:eastAsia="Calibri"/>
        </w:rPr>
        <w:t xml:space="preserve"> </w:t>
      </w:r>
      <w:r>
        <w:rPr>
          <w:rFonts w:eastAsia="Calibri"/>
          <w:sz w:val="24"/>
          <w:szCs w:val="24"/>
        </w:rPr>
        <w:t>(S. Nitah, personal communication). The Dehcho First Nation in the southwestern part of the Northwest Territories finalized a sophisticated land-use plan in 2006 for their more than 200,000 km2 traditional territory (Dehcho Land Use Planning Committee, 2006). While negotiations with the Government of the Northwest Territories and the Canadian federal government are still ongoing, the original Dehcho plan called for more than 100,000 km2 of protected lands (International Boreal Conservation Science Panel, 2013; Wells et al., 2013). In October 2018, Dehcho leaders and federal government representatives held a signing ceremony to designate the Edéhzhíe Dehcho Protected Area and National Wildlife Area. Spanning 14,249 km2 of Boreal Forest, Edéhzhíe marked the first Indigenous protected and conserved area established since Canada laid out its pathway process to protect at least 17% of lands and freshwaters by 2020. The Sahtúgot’ine Dene in the Northwest Territories proposed and established the Tsá Tué Biosphere Reserve in 2016. The Biosphere Reserve encompassed more than 90,000 km2 of area including Great Bear Lake (one of the world’s largest and most pristine) and its watershed.</w:t>
      </w:r>
      <w:r>
        <w:rPr>
          <w:rFonts w:eastAsia="Calibri"/>
        </w:rPr>
        <w:t xml:space="preserve"> </w:t>
      </w:r>
      <w:r>
        <w:rPr>
          <w:rFonts w:eastAsia="Calibri"/>
          <w:sz w:val="24"/>
          <w:szCs w:val="24"/>
          <w:u w:val="single"/>
        </w:rPr>
        <w:t xml:space="preserve">More recently the Sahtúgot’ine Dene have proposed creating an Indigenous protected and conserved area in their traditional territory. </w:t>
      </w:r>
      <w:r>
        <w:rPr>
          <w:rFonts w:eastAsia="Calibri"/>
        </w:rPr>
        <w:t xml:space="preserve">  </w:t>
      </w:r>
      <w:r>
        <w:rPr>
          <w:rFonts w:eastAsia="Calibri"/>
          <w:sz w:val="16"/>
          <w:szCs w:val="16"/>
        </w:rPr>
        <w:t>In Yukon, the Peel River Watershed Land Use Plan which was</w:t>
      </w:r>
      <w:r>
        <w:rPr>
          <w:rFonts w:eastAsia="Calibri"/>
          <w:u w:val="single"/>
        </w:rPr>
        <w:t xml:space="preserve"> developed</w:t>
      </w:r>
      <w:r>
        <w:rPr>
          <w:rFonts w:eastAsia="Calibri"/>
          <w:sz w:val="24"/>
          <w:szCs w:val="24"/>
          <w:u w:val="single"/>
        </w:rPr>
        <w:t xml:space="preserve"> through a many-year process </w:t>
      </w:r>
      <w:r>
        <w:rPr>
          <w:rFonts w:eastAsia="Calibri"/>
          <w:sz w:val="24"/>
          <w:szCs w:val="24"/>
          <w:highlight w:val="yellow"/>
          <w:u w:val="single"/>
        </w:rPr>
        <w:t xml:space="preserve">involving </w:t>
      </w:r>
      <w:r>
        <w:rPr>
          <w:rFonts w:eastAsia="Calibri"/>
          <w:sz w:val="24"/>
          <w:szCs w:val="24"/>
          <w:u w:val="single"/>
        </w:rPr>
        <w:t xml:space="preserve">a number of </w:t>
      </w:r>
      <w:r>
        <w:rPr>
          <w:rFonts w:eastAsia="Calibri"/>
          <w:sz w:val="24"/>
          <w:szCs w:val="24"/>
          <w:highlight w:val="yellow"/>
          <w:u w:val="single"/>
        </w:rPr>
        <w:t>First Nations as well as conservation organizations</w:t>
      </w:r>
      <w:r>
        <w:rPr>
          <w:rFonts w:eastAsia="Calibri"/>
          <w:sz w:val="24"/>
          <w:szCs w:val="24"/>
          <w:u w:val="single"/>
        </w:rPr>
        <w:t xml:space="preserve"> </w:t>
      </w:r>
      <w:r>
        <w:rPr>
          <w:rFonts w:eastAsia="Calibri"/>
          <w:sz w:val="24"/>
          <w:szCs w:val="24"/>
        </w:rPr>
        <w:t>and the Yukon Government, was approved in 2019 requiring 55,000 km2 of new protected areas be formally established in coming years (Government of Yukon, 2019).</w:t>
      </w:r>
      <w:r>
        <w:rPr>
          <w:rFonts w:eastAsia="Calibri"/>
        </w:rPr>
        <w:t xml:space="preserve"> </w:t>
      </w:r>
      <w:r>
        <w:rPr>
          <w:rFonts w:eastAsia="Calibri"/>
          <w:sz w:val="24"/>
          <w:szCs w:val="24"/>
          <w:u w:val="single"/>
        </w:rPr>
        <w:t>In Manitoba and Ontario, several First Nations that developed and implemented land-use plans for their traditional territories, worked with the governments of Manitoba and Ontario to be granted World Heritage status under the name of Pimachiowin Aki (the Land that Gives Life).</w:t>
      </w:r>
      <w:r>
        <w:rPr>
          <w:rFonts w:eastAsia="Calibri"/>
          <w:sz w:val="24"/>
          <w:szCs w:val="24"/>
        </w:rPr>
        <w:t xml:space="preserve"> They protected 29,040 km2 of intact forest within the southern portions of the Boreal Forest biome in eastern edge of Manitoba and western Ontario (Davidson-Hunt et al., 2012; Wells et al., 2013). In northern </w:t>
      </w:r>
      <w:r>
        <w:rPr>
          <w:rFonts w:eastAsia="Calibri"/>
          <w:sz w:val="16"/>
          <w:szCs w:val="16"/>
        </w:rPr>
        <w:t xml:space="preserve">Manitoba, the Sayisi Dene First Nation has proposed protection of the entire 50,000 km2 of the Seal River watershed, a 260 km free-flowing river whose watershed is free of any large-scale industrial development. Other Indigenous governments and NGCOs are working toward creating a marine protected area at the mouth of the Seal River to protect important beluga calving habitat and other marine protected areas in western Hudson Bay (Labun and Debicki, 2018). In Ontario the Moose Cree First Nation has submitted a proposal to protect an additional 5,080 km2 of the North French River watershed (of which 1,583 km2 is currently protected) that flows north into James Bay (Canadian Parks and Wilderness Society, 2018). </w:t>
      </w:r>
      <w:r>
        <w:rPr>
          <w:rFonts w:eastAsia="Calibri"/>
        </w:rPr>
        <w:t xml:space="preserve">  </w:t>
      </w:r>
      <w:r>
        <w:rPr>
          <w:rFonts w:eastAsia="Calibri"/>
          <w:u w:val="single"/>
        </w:rPr>
        <w:t xml:space="preserve">In Quebec, </w:t>
      </w:r>
      <w:r>
        <w:rPr>
          <w:rFonts w:eastAsia="Calibri"/>
          <w:sz w:val="24"/>
          <w:szCs w:val="24"/>
          <w:highlight w:val="yellow"/>
          <w:u w:val="single"/>
        </w:rPr>
        <w:t>the Cree Nation has</w:t>
      </w:r>
      <w:r>
        <w:rPr>
          <w:rFonts w:eastAsia="Calibri"/>
          <w:sz w:val="24"/>
          <w:szCs w:val="24"/>
          <w:u w:val="single"/>
        </w:rPr>
        <w:t xml:space="preserve"> completed a comprehensive protected areas proposal (Cree Nation Government, 2015) with community </w:t>
      </w:r>
      <w:r>
        <w:rPr>
          <w:rFonts w:eastAsia="Calibri"/>
          <w:sz w:val="24"/>
          <w:szCs w:val="24"/>
          <w:highlight w:val="yellow"/>
          <w:u w:val="single"/>
        </w:rPr>
        <w:t xml:space="preserve">proposals for more than twenty large, new protected </w:t>
      </w:r>
      <w:r>
        <w:rPr>
          <w:rFonts w:eastAsia="Calibri"/>
          <w:highlight w:val="yellow"/>
          <w:u w:val="single"/>
        </w:rPr>
        <w:t>areas together</w:t>
      </w:r>
      <w:r>
        <w:rPr>
          <w:rFonts w:eastAsia="Calibri"/>
        </w:rPr>
        <w:t xml:space="preserve"> </w:t>
      </w:r>
      <w:r>
        <w:rPr>
          <w:rFonts w:eastAsia="Calibri"/>
          <w:sz w:val="24"/>
          <w:szCs w:val="24"/>
        </w:rPr>
        <w:t xml:space="preserve">totaling about 80,000 km2 in extent (Cree Nation </w:t>
      </w:r>
      <w:r>
        <w:rPr>
          <w:rFonts w:eastAsia="Calibri"/>
          <w:sz w:val="24"/>
          <w:szCs w:val="24"/>
        </w:rPr>
        <w:lastRenderedPageBreak/>
        <w:t xml:space="preserve">Government, 2019b). A new agreement was signed in 2019 between the Cree Nation and the Canadian federal government to launch a feasibility assessment for considering a new national marine conservation area in Eastern James Bay (Cree Nation Government, 2019a). A marine protected area had been proposed in 2009 off the central east coast of James Bay by the Wemindji First Nation (Mulrennan and Scott, 2019). The Innu Nation in Labrador developed a Forest Ecosystem Strategy Plan that directs that more than 50% of the 71,000-km2 agreement area be protected for ecological or cultural values – an area of 35,000 km2 (Forsyth et al., 2003; Wells et al., 2014). </w:t>
      </w:r>
      <w:r>
        <w:rPr>
          <w:rFonts w:eastAsia="Calibri"/>
        </w:rPr>
        <w:t xml:space="preserve">  </w:t>
      </w:r>
      <w:r>
        <w:rPr>
          <w:rFonts w:eastAsia="Calibri"/>
          <w:sz w:val="16"/>
          <w:szCs w:val="16"/>
        </w:rPr>
        <w:t>Although technically north of the Boreal Forest biome</w:t>
      </w:r>
      <w:r>
        <w:rPr>
          <w:rFonts w:eastAsia="Calibri"/>
          <w:highlight w:val="yellow"/>
          <w:u w:val="single"/>
        </w:rPr>
        <w:t xml:space="preserve"> in Alaska,</w:t>
      </w:r>
      <w:r>
        <w:rPr>
          <w:rFonts w:eastAsia="Calibri"/>
          <w:u w:val="single"/>
        </w:rPr>
        <w:t xml:space="preserve"> there is</w:t>
      </w:r>
      <w:r>
        <w:rPr>
          <w:rFonts w:eastAsia="Calibri"/>
          <w:sz w:val="24"/>
          <w:szCs w:val="24"/>
          <w:u w:val="single"/>
        </w:rPr>
        <w:t xml:space="preserve"> an </w:t>
      </w:r>
      <w:r>
        <w:rPr>
          <w:rFonts w:eastAsia="Calibri"/>
          <w:sz w:val="24"/>
          <w:szCs w:val="24"/>
          <w:highlight w:val="yellow"/>
          <w:u w:val="single"/>
        </w:rPr>
        <w:t>opportunity for a new</w:t>
      </w:r>
      <w:r>
        <w:rPr>
          <w:rFonts w:eastAsia="Calibri"/>
          <w:sz w:val="24"/>
          <w:szCs w:val="24"/>
          <w:u w:val="single"/>
        </w:rPr>
        <w:t xml:space="preserve"> United States model of co-management or</w:t>
      </w:r>
      <w:r>
        <w:rPr>
          <w:rFonts w:eastAsia="Calibri"/>
          <w:sz w:val="24"/>
          <w:szCs w:val="24"/>
          <w:highlight w:val="yellow"/>
          <w:u w:val="single"/>
        </w:rPr>
        <w:t xml:space="preserve"> Indigenous leadership </w:t>
      </w:r>
      <w:r>
        <w:rPr>
          <w:rFonts w:eastAsia="Calibri"/>
          <w:sz w:val="24"/>
          <w:szCs w:val="24"/>
          <w:u w:val="single"/>
        </w:rPr>
        <w:t xml:space="preserve">in protected area management </w:t>
      </w:r>
      <w:r>
        <w:rPr>
          <w:rFonts w:eastAsia="Calibri"/>
          <w:sz w:val="24"/>
          <w:szCs w:val="24"/>
          <w:highlight w:val="yellow"/>
          <w:u w:val="single"/>
        </w:rPr>
        <w:t>for the Arctic National Wildlife Refuge</w:t>
      </w:r>
      <w:r>
        <w:rPr>
          <w:rFonts w:eastAsia="Calibri"/>
          <w:sz w:val="24"/>
          <w:szCs w:val="24"/>
          <w:u w:val="single"/>
        </w:rPr>
        <w:t xml:space="preserve"> (Arctic Refuge). The Arctic Refuge was established in 1960 and expanded in 1980 in Alaska.</w:t>
      </w:r>
      <w:r>
        <w:rPr>
          <w:rFonts w:eastAsia="Calibri"/>
        </w:rPr>
        <w:t xml:space="preserve"> </w:t>
      </w:r>
      <w:r>
        <w:rPr>
          <w:rFonts w:eastAsia="Calibri"/>
          <w:sz w:val="24"/>
          <w:szCs w:val="24"/>
        </w:rPr>
        <w:t>Adjacent to the Arctic Refuge are Ivvavik National Park and Vuntut National Park in Canada. The Porcupine Caribou Management Board, which includes Alaska Native Tribes, Canada First Nations, federal, state and provincial governments, was established in 1987 to fulfill the international treaty obligations to protect the Porcupine Caribou Herd within these protected areas.</w:t>
      </w:r>
      <w:r>
        <w:rPr>
          <w:rFonts w:eastAsia="Calibri"/>
        </w:rPr>
        <w:t xml:space="preserve"> </w:t>
      </w:r>
      <w:r>
        <w:rPr>
          <w:rFonts w:eastAsia="Calibri"/>
          <w:u w:val="single"/>
        </w:rPr>
        <w:t>These landscapes have been proposed as an</w:t>
      </w:r>
      <w:r>
        <w:rPr>
          <w:rFonts w:eastAsia="Calibri"/>
          <w:sz w:val="24"/>
          <w:szCs w:val="24"/>
          <w:u w:val="single"/>
        </w:rPr>
        <w:t xml:space="preserve"> international </w:t>
      </w:r>
      <w:r>
        <w:rPr>
          <w:rFonts w:eastAsia="Calibri"/>
          <w:sz w:val="24"/>
          <w:szCs w:val="24"/>
          <w:highlight w:val="yellow"/>
          <w:u w:val="single"/>
        </w:rPr>
        <w:t xml:space="preserve">Arctic Wilderness area </w:t>
      </w:r>
      <w:r>
        <w:rPr>
          <w:rFonts w:eastAsia="Calibri"/>
          <w:sz w:val="24"/>
          <w:szCs w:val="24"/>
          <w:u w:val="single"/>
        </w:rPr>
        <w:t>with an emphasis of continuing</w:t>
      </w:r>
      <w:r>
        <w:rPr>
          <w:rFonts w:eastAsia="Calibri"/>
          <w:sz w:val="24"/>
          <w:szCs w:val="24"/>
          <w:highlight w:val="yellow"/>
          <w:u w:val="single"/>
        </w:rPr>
        <w:t xml:space="preserve"> to protect a land base for the Gwich’in and Inupiat cultures </w:t>
      </w:r>
      <w:r>
        <w:rPr>
          <w:rFonts w:eastAsia="Calibri"/>
          <w:sz w:val="24"/>
          <w:szCs w:val="24"/>
          <w:u w:val="single"/>
        </w:rPr>
        <w:t xml:space="preserve">(Miller, 1995) </w:t>
      </w:r>
      <w:r>
        <w:rPr>
          <w:rFonts w:eastAsia="Calibri"/>
          <w:sz w:val="24"/>
          <w:szCs w:val="24"/>
          <w:highlight w:val="yellow"/>
          <w:u w:val="single"/>
        </w:rPr>
        <w:t>and</w:t>
      </w:r>
      <w:r>
        <w:rPr>
          <w:rFonts w:eastAsia="Calibri"/>
          <w:sz w:val="24"/>
          <w:szCs w:val="24"/>
          <w:u w:val="single"/>
        </w:rPr>
        <w:t xml:space="preserve"> to protect the </w:t>
      </w:r>
      <w:r>
        <w:rPr>
          <w:rFonts w:eastAsia="Calibri"/>
          <w:sz w:val="24"/>
          <w:szCs w:val="24"/>
          <w:highlight w:val="yellow"/>
          <w:u w:val="single"/>
        </w:rPr>
        <w:t>ecological integrity</w:t>
      </w:r>
      <w:r>
        <w:rPr>
          <w:rFonts w:eastAsia="Calibri"/>
          <w:sz w:val="24"/>
          <w:szCs w:val="24"/>
          <w:u w:val="single"/>
        </w:rPr>
        <w:t xml:space="preserve"> could be </w:t>
      </w:r>
      <w:r>
        <w:rPr>
          <w:rFonts w:eastAsia="Calibri"/>
          <w:sz w:val="24"/>
          <w:szCs w:val="24"/>
          <w:highlight w:val="yellow"/>
          <w:u w:val="single"/>
        </w:rPr>
        <w:t>an important step</w:t>
      </w:r>
      <w:r>
        <w:rPr>
          <w:rFonts w:eastAsia="Calibri"/>
          <w:sz w:val="24"/>
          <w:szCs w:val="24"/>
          <w:u w:val="single"/>
        </w:rPr>
        <w:t xml:space="preserve"> toward establishment of </w:t>
      </w:r>
      <w:r>
        <w:rPr>
          <w:rFonts w:eastAsia="Calibri"/>
          <w:sz w:val="24"/>
          <w:szCs w:val="24"/>
          <w:highlight w:val="yellow"/>
          <w:u w:val="single"/>
        </w:rPr>
        <w:t>other new co-managed protected areas within Alaska</w:t>
      </w:r>
      <w:r>
        <w:rPr>
          <w:rFonts w:eastAsia="Calibri"/>
          <w:sz w:val="24"/>
          <w:szCs w:val="24"/>
          <w:u w:val="single"/>
        </w:rPr>
        <w:t xml:space="preserve">’s Boreal Forest biome. </w:t>
      </w:r>
      <w:r>
        <w:rPr>
          <w:rFonts w:eastAsia="Calibri"/>
        </w:rPr>
        <w:t xml:space="preserve">  INDIGENOUS GUARDIAN PROGRAMS </w:t>
      </w:r>
      <w:r>
        <w:rPr>
          <w:rFonts w:eastAsia="Calibri"/>
          <w:sz w:val="16"/>
          <w:szCs w:val="16"/>
        </w:rPr>
        <w:t>Increasingly,</w:t>
      </w:r>
      <w:r>
        <w:rPr>
          <w:rFonts w:eastAsia="Calibri"/>
        </w:rPr>
        <w:t xml:space="preserve"> </w:t>
      </w:r>
      <w:r>
        <w:rPr>
          <w:rFonts w:eastAsia="Calibri"/>
          <w:sz w:val="24"/>
          <w:szCs w:val="24"/>
          <w:u w:val="single"/>
        </w:rPr>
        <w:t>Indigenous governments across the North American Boreal Forest biome region are also developing programs to train and equip Indigenous people from their own nations to serve as on-the-ground guardians</w:t>
      </w:r>
      <w:r>
        <w:rPr>
          <w:rFonts w:eastAsia="Calibri"/>
          <w:sz w:val="24"/>
          <w:szCs w:val="24"/>
        </w:rPr>
        <w:t xml:space="preserve">. </w:t>
      </w:r>
      <w:r>
        <w:rPr>
          <w:rFonts w:eastAsia="Calibri"/>
          <w:sz w:val="24"/>
          <w:szCs w:val="24"/>
          <w:highlight w:val="yellow"/>
          <w:u w:val="single"/>
        </w:rPr>
        <w:t>Indigenous guardians fulfill</w:t>
      </w:r>
      <w:r>
        <w:rPr>
          <w:rFonts w:eastAsia="Calibri"/>
          <w:sz w:val="24"/>
          <w:szCs w:val="24"/>
          <w:u w:val="single"/>
        </w:rPr>
        <w:t xml:space="preserve"> a wide range of duties including </w:t>
      </w:r>
      <w:r>
        <w:rPr>
          <w:rFonts w:eastAsia="Calibri"/>
          <w:sz w:val="24"/>
          <w:szCs w:val="24"/>
          <w:highlight w:val="yellow"/>
          <w:u w:val="single"/>
        </w:rPr>
        <w:t>land and people</w:t>
      </w:r>
      <w:r>
        <w:rPr>
          <w:rFonts w:eastAsia="Calibri"/>
          <w:sz w:val="24"/>
          <w:szCs w:val="24"/>
          <w:u w:val="single"/>
        </w:rPr>
        <w:t xml:space="preserve"> management, biological monitoring, safety and</w:t>
      </w:r>
      <w:r>
        <w:rPr>
          <w:rFonts w:eastAsia="Calibri"/>
          <w:sz w:val="24"/>
          <w:szCs w:val="24"/>
          <w:highlight w:val="yellow"/>
          <w:u w:val="single"/>
        </w:rPr>
        <w:t xml:space="preserve"> enforcement</w:t>
      </w:r>
      <w:r>
        <w:rPr>
          <w:rFonts w:eastAsia="Calibri"/>
          <w:sz w:val="24"/>
          <w:szCs w:val="24"/>
          <w:u w:val="single"/>
        </w:rPr>
        <w:t xml:space="preserve">, </w:t>
      </w:r>
      <w:r>
        <w:rPr>
          <w:rFonts w:eastAsia="Calibri"/>
          <w:sz w:val="24"/>
          <w:szCs w:val="24"/>
          <w:highlight w:val="yellow"/>
          <w:u w:val="single"/>
        </w:rPr>
        <w:t xml:space="preserve">and education within their traditional territories and protected areas </w:t>
      </w:r>
      <w:r>
        <w:rPr>
          <w:rFonts w:eastAsia="Calibri"/>
          <w:sz w:val="24"/>
          <w:szCs w:val="24"/>
          <w:u w:val="single"/>
        </w:rPr>
        <w:t>using both Indigenous knowledge and western science.</w:t>
      </w:r>
      <w:r>
        <w:rPr>
          <w:rFonts w:eastAsia="Calibri"/>
          <w:sz w:val="16"/>
          <w:szCs w:val="16"/>
          <w:u w:val="single"/>
        </w:rPr>
        <w:t xml:space="preserve"> </w:t>
      </w:r>
      <w:r>
        <w:rPr>
          <w:rFonts w:eastAsia="Calibri"/>
          <w:sz w:val="24"/>
          <w:szCs w:val="24"/>
        </w:rPr>
        <w:t xml:space="preserve">Often termed “Indigenous ranger” programs in Australia, such efforts already employ about 840 full time equivalent Indigenous people managing protected areas in Australia (Woinnarski et al., 2014) and the Australian government has committed another </w:t>
      </w:r>
      <w:r>
        <w:rPr>
          <w:rFonts w:eastAsia="Calibri"/>
          <w:sz w:val="16"/>
          <w:szCs w:val="16"/>
        </w:rPr>
        <w:t xml:space="preserve">$700 million to support rangers until 2028. One of the earliest modern examples of this approach in Canada was initiated by the Haida Gwaii in 1981 under the name of the Haida Watchmen Program (M. Richardson, personal communication). Since that time, the program has expanded to other First Nations and is now collectively called the Guardian Watchmen Program (Coastal First Nations–Great Bear Initiative, 2018). There are now about 60 Indigenous Guardian programs operating across Canada. The Łutsël K’e Dene First Nation, for instance, established the Ni hat’ni Dene (the “Dene Watching the Land”) program in 2008 that trains and employs young people from the community in Indigenous knowledge, scientific monitoring and visitor education and safety duties (Łutsël K’e Dene First Nation, 2018). In 2017, the Canadian Federal government committed $25 million to help support existing and establish more such guardian programs. By the end of 2020, more than 70 existing and new programs will have received financial support for guardian programs. </w:t>
      </w:r>
      <w:r>
        <w:rPr>
          <w:rFonts w:eastAsia="Calibri"/>
        </w:rPr>
        <w:t xml:space="preserve">  CONSERVATION RECOMMENDATIONS FOR NORTH AMERICA’S BOREAL FOREST BIOME •</w:t>
      </w:r>
      <w:r>
        <w:rPr>
          <w:rFonts w:eastAsia="Calibri"/>
          <w:sz w:val="24"/>
          <w:szCs w:val="24"/>
          <w:u w:val="single"/>
        </w:rPr>
        <w:t xml:space="preserve"> Land-use decisions across the North American Boreal Forest biome will determine its ecological future. Those decisions must be led by Indigenous governments and communities. This is consistent with Free Prior and Informed Consent (FPIC) principles that state that Indigenous peoples have the right to determine and develop priorities and strategies for the development or use of lands and waters or other resources within their traditional territories (Boreal Leadership Council, 2012). </w:t>
      </w:r>
      <w:r>
        <w:rPr>
          <w:rFonts w:eastAsia="Calibri"/>
        </w:rPr>
        <w:t>•</w:t>
      </w:r>
      <w:r>
        <w:rPr>
          <w:rFonts w:eastAsia="Calibri"/>
          <w:sz w:val="24"/>
          <w:szCs w:val="24"/>
          <w:u w:val="single"/>
        </w:rPr>
        <w:t xml:space="preserve"> Federal, provincial and territorial </w:t>
      </w:r>
      <w:r>
        <w:rPr>
          <w:rFonts w:eastAsia="Calibri"/>
          <w:sz w:val="24"/>
          <w:szCs w:val="24"/>
          <w:highlight w:val="yellow"/>
          <w:u w:val="single"/>
        </w:rPr>
        <w:t>governments should make large-scale, multi-year investments in providing financial resources for Indigenous</w:t>
      </w:r>
      <w:r>
        <w:rPr>
          <w:rFonts w:eastAsia="Calibri"/>
          <w:sz w:val="24"/>
          <w:szCs w:val="24"/>
          <w:u w:val="single"/>
        </w:rPr>
        <w:t xml:space="preserve"> governments and </w:t>
      </w:r>
      <w:r>
        <w:rPr>
          <w:rFonts w:eastAsia="Calibri"/>
          <w:sz w:val="24"/>
          <w:szCs w:val="24"/>
          <w:highlight w:val="yellow"/>
          <w:u w:val="single"/>
        </w:rPr>
        <w:t>communities</w:t>
      </w:r>
      <w:r>
        <w:rPr>
          <w:rFonts w:eastAsia="Calibri"/>
          <w:sz w:val="24"/>
          <w:szCs w:val="24"/>
          <w:u w:val="single"/>
        </w:rPr>
        <w:t xml:space="preserve"> to </w:t>
      </w:r>
      <w:r>
        <w:rPr>
          <w:rFonts w:eastAsia="Calibri"/>
          <w:sz w:val="24"/>
          <w:szCs w:val="24"/>
          <w:highlight w:val="yellow"/>
          <w:u w:val="single"/>
        </w:rPr>
        <w:t>train and hire Indigenous land-use planners, managers, and on-the-land guardians</w:t>
      </w:r>
      <w:r>
        <w:rPr>
          <w:rFonts w:eastAsia="Calibri"/>
          <w:sz w:val="24"/>
          <w:szCs w:val="24"/>
          <w:u w:val="single"/>
        </w:rPr>
        <w:t xml:space="preserve">. Such </w:t>
      </w:r>
      <w:r>
        <w:rPr>
          <w:rFonts w:eastAsia="Calibri"/>
          <w:u w:val="single"/>
        </w:rPr>
        <w:t xml:space="preserve">programs can fill existing gaps in ecological data particularly in remote northern regions where data are most sparse. </w:t>
      </w:r>
      <w:r>
        <w:rPr>
          <w:rFonts w:eastAsia="Calibri"/>
          <w:sz w:val="16"/>
          <w:szCs w:val="16"/>
        </w:rPr>
        <w:t xml:space="preserve">• </w:t>
      </w:r>
      <w:r>
        <w:rPr>
          <w:rFonts w:eastAsia="Calibri"/>
          <w:u w:val="single"/>
        </w:rPr>
        <w:t xml:space="preserve">Federal, provincial and territorial governments should make large-scale, multi-year investments in providing financial resources for Indigenous governments and communities </w:t>
      </w:r>
      <w:r>
        <w:rPr>
          <w:rFonts w:eastAsia="Calibri"/>
          <w:sz w:val="24"/>
          <w:szCs w:val="24"/>
          <w:highlight w:val="yellow"/>
          <w:u w:val="single"/>
        </w:rPr>
        <w:t xml:space="preserve">for the planning, development, and management of Indigenous protected and conserved </w:t>
      </w:r>
      <w:r>
        <w:rPr>
          <w:rFonts w:eastAsia="Calibri"/>
          <w:highlight w:val="yellow"/>
          <w:u w:val="single"/>
        </w:rPr>
        <w:t>areas.</w:t>
      </w:r>
      <w:r>
        <w:rPr>
          <w:rFonts w:eastAsia="Calibri"/>
          <w:u w:val="single"/>
        </w:rPr>
        <w:t xml:space="preserve"> </w:t>
      </w:r>
      <w:r>
        <w:rPr>
          <w:rFonts w:eastAsia="Calibri"/>
          <w:sz w:val="24"/>
          <w:szCs w:val="24"/>
        </w:rPr>
        <w:t xml:space="preserve">This will be essential for Canada to meet both its current and any future conservation commitments, including the Government of Canada’s 2019 Speech from the Throne commitment to protect 25% of lands and waters by 2025. </w:t>
      </w:r>
      <w:r>
        <w:rPr>
          <w:rFonts w:eastAsia="Calibri"/>
          <w:sz w:val="16"/>
          <w:szCs w:val="16"/>
        </w:rPr>
        <w:t>• To maintain the full complement of all plant and animal species and associated ecological processes,</w:t>
      </w:r>
      <w:r>
        <w:rPr>
          <w:rFonts w:eastAsia="Calibri"/>
          <w:u w:val="single"/>
        </w:rPr>
        <w:t xml:space="preserve"> at least 50 percent of the North American Boreal Forest biome should be within a network of protected areas free of large-scale industrial disturbance, including from forestry, mining and exploration activity, oil and gas extraction and exploration, agriculture and hydropower production</w:t>
      </w:r>
      <w:r>
        <w:rPr>
          <w:rFonts w:eastAsia="Calibri"/>
          <w:sz w:val="16"/>
          <w:szCs w:val="16"/>
        </w:rPr>
        <w:t xml:space="preserve"> </w:t>
      </w:r>
      <w:r>
        <w:rPr>
          <w:rFonts w:eastAsia="Calibri"/>
          <w:sz w:val="16"/>
          <w:szCs w:val="16"/>
        </w:rPr>
        <w:lastRenderedPageBreak/>
        <w:t>(International Boreal Conservation Science Panel, 2013; Wells et al., 2014).</w:t>
      </w:r>
      <w:r>
        <w:rPr>
          <w:rFonts w:eastAsia="Calibri"/>
        </w:rPr>
        <w:t xml:space="preserve"> </w:t>
      </w:r>
      <w:r>
        <w:rPr>
          <w:rFonts w:eastAsia="Calibri"/>
          <w:u w:val="single"/>
        </w:rPr>
        <w:t>Industrial development</w:t>
      </w:r>
      <w:r>
        <w:rPr>
          <w:rFonts w:eastAsia="Calibri"/>
          <w:sz w:val="24"/>
          <w:szCs w:val="24"/>
          <w:u w:val="single"/>
        </w:rPr>
        <w:t xml:space="preserve"> that does occur </w:t>
      </w:r>
      <w:r>
        <w:rPr>
          <w:rFonts w:eastAsia="Calibri"/>
          <w:sz w:val="24"/>
          <w:szCs w:val="24"/>
          <w:highlight w:val="yellow"/>
          <w:u w:val="single"/>
        </w:rPr>
        <w:t>must be</w:t>
      </w:r>
      <w:r>
        <w:rPr>
          <w:rFonts w:eastAsia="Calibri"/>
          <w:sz w:val="24"/>
          <w:szCs w:val="24"/>
          <w:u w:val="single"/>
        </w:rPr>
        <w:t xml:space="preserve"> carried out </w:t>
      </w:r>
      <w:r>
        <w:rPr>
          <w:rFonts w:eastAsia="Calibri"/>
          <w:sz w:val="24"/>
          <w:szCs w:val="24"/>
          <w:highlight w:val="yellow"/>
          <w:u w:val="single"/>
        </w:rPr>
        <w:t>at the highest sustainability standards and only with Indigenous</w:t>
      </w:r>
      <w:r>
        <w:rPr>
          <w:rFonts w:eastAsia="Calibri"/>
          <w:sz w:val="24"/>
          <w:szCs w:val="24"/>
          <w:u w:val="single"/>
        </w:rPr>
        <w:t xml:space="preserve"> government</w:t>
      </w:r>
      <w:r>
        <w:rPr>
          <w:rFonts w:eastAsia="Calibri"/>
          <w:sz w:val="24"/>
          <w:szCs w:val="24"/>
          <w:highlight w:val="yellow"/>
          <w:u w:val="single"/>
        </w:rPr>
        <w:t xml:space="preserve"> consent</w:t>
      </w:r>
      <w:r>
        <w:rPr>
          <w:rFonts w:eastAsia="Calibri"/>
          <w:sz w:val="24"/>
          <w:szCs w:val="24"/>
          <w:u w:val="single"/>
        </w:rPr>
        <w:t xml:space="preserve"> and oversight. </w:t>
      </w:r>
      <w:r>
        <w:rPr>
          <w:rFonts w:eastAsia="Calibri"/>
        </w:rPr>
        <w:t xml:space="preserve">• </w:t>
      </w:r>
      <w:r>
        <w:rPr>
          <w:rFonts w:eastAsia="Calibri"/>
          <w:sz w:val="24"/>
          <w:szCs w:val="24"/>
          <w:u w:val="single"/>
        </w:rPr>
        <w:t xml:space="preserve">The </w:t>
      </w:r>
      <w:r>
        <w:rPr>
          <w:rFonts w:eastAsia="Calibri"/>
          <w:sz w:val="24"/>
          <w:szCs w:val="24"/>
          <w:highlight w:val="yellow"/>
          <w:u w:val="single"/>
        </w:rPr>
        <w:t>protected area</w:t>
      </w:r>
      <w:r>
        <w:rPr>
          <w:rFonts w:eastAsia="Calibri"/>
          <w:sz w:val="24"/>
          <w:szCs w:val="24"/>
          <w:u w:val="single"/>
        </w:rPr>
        <w:t xml:space="preserve"> networks must</w:t>
      </w:r>
      <w:r>
        <w:rPr>
          <w:rFonts w:eastAsia="Calibri"/>
          <w:sz w:val="24"/>
          <w:szCs w:val="24"/>
        </w:rPr>
        <w:t xml:space="preserve"> include very large landscapes – ideally on the order of 10,000–30,000+ km2 (2.5–7+ million acres) in size – connected to</w:t>
      </w:r>
      <w:r>
        <w:rPr>
          <w:rFonts w:eastAsia="Calibri"/>
        </w:rPr>
        <w:t xml:space="preserve"> </w:t>
      </w:r>
      <w:r>
        <w:rPr>
          <w:rFonts w:eastAsia="Calibri"/>
          <w:u w:val="single"/>
        </w:rPr>
        <w:t>allow wildlife populations to survive</w:t>
      </w:r>
      <w:r>
        <w:rPr>
          <w:rFonts w:eastAsia="Calibri"/>
          <w:sz w:val="24"/>
          <w:szCs w:val="24"/>
          <w:u w:val="single"/>
        </w:rPr>
        <w:t xml:space="preserve"> and to ensure the full range of habitat diversity and ecosystem functions that will serve as biodiversity reservoirs in the face of climate change </w:t>
      </w:r>
      <w:r>
        <w:rPr>
          <w:rFonts w:eastAsia="Calibri"/>
          <w:sz w:val="16"/>
          <w:szCs w:val="16"/>
        </w:rPr>
        <w:t xml:space="preserve">(International Boreal Conservation Science Panel, 2011). </w:t>
      </w:r>
      <w:r>
        <w:rPr>
          <w:rFonts w:eastAsia="Calibri"/>
        </w:rPr>
        <w:t>•</w:t>
      </w:r>
      <w:r>
        <w:rPr>
          <w:rFonts w:eastAsia="Calibri"/>
          <w:sz w:val="24"/>
          <w:szCs w:val="24"/>
          <w:u w:val="single"/>
        </w:rPr>
        <w:t xml:space="preserve"> Conservation of lands must accommodate Indigenous traditional uses of the land and should be managed or co-managed by Indigenous governments and guardians. In all conservation areas, </w:t>
      </w:r>
      <w:r>
        <w:rPr>
          <w:rFonts w:eastAsia="Calibri"/>
          <w:sz w:val="24"/>
          <w:szCs w:val="24"/>
          <w:highlight w:val="yellow"/>
          <w:u w:val="single"/>
        </w:rPr>
        <w:t>there should be protection of traditional</w:t>
      </w:r>
      <w:r>
        <w:rPr>
          <w:rFonts w:eastAsia="Calibri"/>
          <w:sz w:val="24"/>
          <w:szCs w:val="24"/>
          <w:u w:val="single"/>
        </w:rPr>
        <w:t xml:space="preserve"> values and uses, including</w:t>
      </w:r>
      <w:r>
        <w:rPr>
          <w:rFonts w:eastAsia="Calibri"/>
          <w:sz w:val="24"/>
          <w:szCs w:val="24"/>
          <w:highlight w:val="yellow"/>
          <w:u w:val="single"/>
        </w:rPr>
        <w:t xml:space="preserve"> hunting, trapping, gathering plants for food, materials, medicines and spiritual and ceremonial practices. </w:t>
      </w:r>
      <w:r>
        <w:rPr>
          <w:rFonts w:eastAsia="Calibri"/>
          <w:sz w:val="16"/>
          <w:szCs w:val="16"/>
        </w:rPr>
        <w:t>• Planning must take into account the cumulative impacts of development over meaningful time periods (i.e., decades to a century). This is necessary to ensure that the full consequences of land use are understood and addressed. Given the unprecedented speed of climate change impacts to ecological systems, especially in northern regions, the viability of wildlife populations is dependent on managing land use to maintain large, intact habitat areas and landscape connectivity. • While Alaska has examples of species-specific co-management plans, such</w:t>
      </w:r>
      <w:r>
        <w:rPr>
          <w:rFonts w:eastAsia="Calibri"/>
          <w:u w:val="single"/>
        </w:rPr>
        <w:t xml:space="preserve"> a co-management model must be applied </w:t>
      </w:r>
      <w:r>
        <w:rPr>
          <w:rFonts w:eastAsia="Calibri"/>
          <w:sz w:val="24"/>
          <w:szCs w:val="24"/>
          <w:u w:val="single"/>
        </w:rPr>
        <w:t xml:space="preserve">to Indigenous protected areas or ecosystem- based plans that can be implemented through Indigenous resource management, </w:t>
      </w:r>
      <w:r>
        <w:rPr>
          <w:rFonts w:eastAsia="Calibri"/>
          <w:sz w:val="24"/>
          <w:szCs w:val="24"/>
          <w:highlight w:val="yellow"/>
          <w:u w:val="single"/>
        </w:rPr>
        <w:t xml:space="preserve">such as the approach originally </w:t>
      </w:r>
      <w:r>
        <w:rPr>
          <w:rFonts w:eastAsia="Calibri"/>
          <w:highlight w:val="yellow"/>
          <w:u w:val="single"/>
        </w:rPr>
        <w:t xml:space="preserve">envisioned for the Arctic National Wildlife Refuge. </w:t>
      </w:r>
      <w:r>
        <w:rPr>
          <w:rFonts w:eastAsia="Calibri"/>
        </w:rPr>
        <w:t>•</w:t>
      </w:r>
      <w:r>
        <w:rPr>
          <w:rFonts w:eastAsia="Calibri"/>
          <w:sz w:val="24"/>
          <w:szCs w:val="24"/>
          <w:u w:val="single"/>
        </w:rPr>
        <w:t xml:space="preserve"> In Alaska</w:t>
      </w:r>
      <w:r>
        <w:rPr>
          <w:rFonts w:eastAsia="Calibri"/>
          <w:sz w:val="24"/>
          <w:szCs w:val="24"/>
        </w:rPr>
        <w:t xml:space="preserve">, </w:t>
      </w:r>
      <w:r>
        <w:rPr>
          <w:rFonts w:eastAsia="Calibri"/>
          <w:sz w:val="16"/>
          <w:szCs w:val="16"/>
        </w:rPr>
        <w:t>the foregoing recommendations generally apply. However, they will also</w:t>
      </w:r>
      <w:r>
        <w:rPr>
          <w:rFonts w:eastAsia="Calibri"/>
        </w:rPr>
        <w:t xml:space="preserve"> </w:t>
      </w:r>
      <w:r>
        <w:rPr>
          <w:rFonts w:eastAsia="Calibri"/>
          <w:sz w:val="24"/>
          <w:szCs w:val="24"/>
          <w:u w:val="single"/>
        </w:rPr>
        <w:t xml:space="preserve">need to be implemented in a manner that addresses the challenges of current Forest Conservation Issues and Opportunities land ownership and management within the state. The </w:t>
      </w:r>
      <w:r>
        <w:rPr>
          <w:rFonts w:eastAsia="Calibri"/>
          <w:sz w:val="24"/>
          <w:szCs w:val="24"/>
          <w:highlight w:val="yellow"/>
          <w:u w:val="single"/>
        </w:rPr>
        <w:t>federal agencies</w:t>
      </w:r>
      <w:r>
        <w:rPr>
          <w:rFonts w:eastAsia="Calibri"/>
          <w:sz w:val="24"/>
          <w:szCs w:val="24"/>
          <w:u w:val="single"/>
        </w:rPr>
        <w:t>, as well as the State of Alaska, can and</w:t>
      </w:r>
      <w:r>
        <w:rPr>
          <w:rFonts w:eastAsia="Calibri"/>
          <w:sz w:val="24"/>
          <w:szCs w:val="24"/>
          <w:highlight w:val="yellow"/>
          <w:u w:val="single"/>
        </w:rPr>
        <w:t xml:space="preserve"> should </w:t>
      </w:r>
      <w:r>
        <w:rPr>
          <w:rFonts w:eastAsia="Calibri"/>
          <w:sz w:val="24"/>
          <w:szCs w:val="24"/>
          <w:u w:val="single"/>
        </w:rPr>
        <w:t>use their management flexibility to enter into co-management arrangements for landscapes and</w:t>
      </w:r>
      <w:r>
        <w:rPr>
          <w:rFonts w:eastAsia="Calibri"/>
          <w:sz w:val="24"/>
          <w:szCs w:val="24"/>
          <w:highlight w:val="yellow"/>
          <w:u w:val="single"/>
        </w:rPr>
        <w:t xml:space="preserve"> set up Indigenous guardian programs, similar to those employed in Canada. </w:t>
      </w:r>
      <w:r>
        <w:rPr>
          <w:rFonts w:eastAsia="Calibri"/>
          <w:sz w:val="24"/>
          <w:szCs w:val="24"/>
          <w:u w:val="single"/>
        </w:rPr>
        <w:t xml:space="preserve">They should undertake an effort to identify the best places for management with Indigenous governments and communities immediately. The opportunity to protect large, intact Boreal Forest landscapes in Alaska will </w:t>
      </w:r>
      <w:r>
        <w:rPr>
          <w:rFonts w:eastAsia="Calibri"/>
          <w:sz w:val="24"/>
          <w:szCs w:val="24"/>
          <w:highlight w:val="yellow"/>
          <w:u w:val="single"/>
        </w:rPr>
        <w:t xml:space="preserve">require </w:t>
      </w:r>
      <w:r>
        <w:rPr>
          <w:rFonts w:eastAsia="Calibri"/>
          <w:sz w:val="24"/>
          <w:szCs w:val="24"/>
          <w:u w:val="single"/>
        </w:rPr>
        <w:t xml:space="preserve">coordination among diverse stakeholders, investment in Indigenous governments and communities, and </w:t>
      </w:r>
      <w:r>
        <w:rPr>
          <w:rFonts w:eastAsia="Calibri"/>
          <w:sz w:val="24"/>
          <w:szCs w:val="24"/>
          <w:highlight w:val="yellow"/>
          <w:u w:val="single"/>
        </w:rPr>
        <w:t>recognition of</w:t>
      </w:r>
      <w:r>
        <w:rPr>
          <w:rFonts w:eastAsia="Calibri"/>
          <w:sz w:val="24"/>
          <w:szCs w:val="24"/>
          <w:u w:val="single"/>
        </w:rPr>
        <w:t xml:space="preserve"> the </w:t>
      </w:r>
      <w:r>
        <w:rPr>
          <w:rFonts w:eastAsia="Calibri"/>
          <w:sz w:val="24"/>
          <w:szCs w:val="24"/>
          <w:highlight w:val="yellow"/>
          <w:u w:val="single"/>
        </w:rPr>
        <w:t>issues</w:t>
      </w:r>
      <w:r>
        <w:rPr>
          <w:rFonts w:eastAsia="Calibri"/>
          <w:sz w:val="24"/>
          <w:szCs w:val="24"/>
          <w:u w:val="single"/>
        </w:rPr>
        <w:t xml:space="preserve"> that have resulted </w:t>
      </w:r>
      <w:r>
        <w:rPr>
          <w:rFonts w:eastAsia="Calibri"/>
          <w:sz w:val="24"/>
          <w:szCs w:val="24"/>
          <w:highlight w:val="yellow"/>
          <w:u w:val="single"/>
        </w:rPr>
        <w:t xml:space="preserve">from the history of colonization across the United States. </w:t>
      </w:r>
      <w:r>
        <w:rPr>
          <w:rFonts w:eastAsia="Calibri"/>
        </w:rPr>
        <w:t xml:space="preserve">  CONCLUSION </w:t>
      </w:r>
      <w:r>
        <w:rPr>
          <w:rFonts w:eastAsia="Calibri"/>
          <w:u w:val="single"/>
        </w:rPr>
        <w:t>The North American Boreal Forest biome is one of the last, large intact landscapes remaining on Earth.</w:t>
      </w:r>
      <w:r>
        <w:rPr>
          <w:rFonts w:eastAsia="Calibri"/>
        </w:rPr>
        <w:t xml:space="preserve"> </w:t>
      </w:r>
      <w:r>
        <w:rPr>
          <w:rFonts w:eastAsia="Calibri"/>
          <w:sz w:val="24"/>
          <w:szCs w:val="24"/>
        </w:rPr>
        <w:t xml:space="preserve">The intactness of the biome has allowed it to retain globally significant conservation values and features and ecological functions. As the human industrial footprint and climate change impacts continue to degrade ecosystems and increase the loss of biodiversity on the </w:t>
      </w:r>
      <w:r>
        <w:rPr>
          <w:rFonts w:eastAsia="Calibri"/>
          <w:sz w:val="16"/>
          <w:szCs w:val="16"/>
        </w:rPr>
        <w:t>planet,</w:t>
      </w:r>
      <w:r>
        <w:rPr>
          <w:rFonts w:eastAsia="Calibri"/>
        </w:rPr>
        <w:t xml:space="preserve"> </w:t>
      </w:r>
      <w:r>
        <w:rPr>
          <w:rFonts w:eastAsia="Calibri"/>
          <w:sz w:val="24"/>
          <w:szCs w:val="24"/>
          <w:u w:val="single"/>
        </w:rPr>
        <w:t xml:space="preserve">the protection of the North American Boreal Forest biome becomes even more essential. Maintaining its massive terrestrial carbon storehouse is critical to preventing further carbon from being released into the atmosphere </w:t>
      </w:r>
      <w:r>
        <w:rPr>
          <w:rFonts w:eastAsia="Calibri"/>
          <w:sz w:val="24"/>
          <w:szCs w:val="24"/>
        </w:rPr>
        <w:t xml:space="preserve">(Bradshaw et al., 2009; Carlson et al., 2009; Bradshaw and Warkentin, 2015).  </w:t>
      </w:r>
      <w:r>
        <w:rPr>
          <w:rFonts w:eastAsia="Calibri"/>
        </w:rPr>
        <w:t xml:space="preserve">  </w:t>
      </w:r>
      <w:r>
        <w:rPr>
          <w:rFonts w:eastAsia="Calibri"/>
          <w:sz w:val="16"/>
          <w:szCs w:val="16"/>
        </w:rPr>
        <w:t>The biome will also become</w:t>
      </w:r>
      <w:r>
        <w:rPr>
          <w:rFonts w:eastAsia="Calibri"/>
          <w:u w:val="single"/>
        </w:rPr>
        <w:t xml:space="preserve"> increasingly important as a place of refuge for species forced northward by inhospitable climate further south</w:t>
      </w:r>
      <w:r>
        <w:rPr>
          <w:rFonts w:eastAsia="Calibri"/>
        </w:rPr>
        <w:t xml:space="preserve"> </w:t>
      </w:r>
      <w:r>
        <w:rPr>
          <w:rFonts w:eastAsia="Calibri"/>
          <w:sz w:val="24"/>
          <w:szCs w:val="24"/>
        </w:rPr>
        <w:t>(Stralberg et al., 2015, Stralberg et al., 2017). Further, the best insurance for maintaining resilience of plant and animal communities to climate change will be the maintenance of intact ecosystems and robust populations (Wells et al., 2018). Species that must shift ranges northward to survive will have their best opportunity to do so when unimpeded by fragmented habitat full of human-made barriers.</w:t>
      </w:r>
      <w:r>
        <w:rPr>
          <w:rFonts w:eastAsia="Calibri"/>
          <w:u w:val="single"/>
        </w:rPr>
        <w:t xml:space="preserve"> Careful land-use planning </w:t>
      </w:r>
      <w:r>
        <w:rPr>
          <w:rFonts w:eastAsia="Calibri"/>
          <w:sz w:val="24"/>
          <w:szCs w:val="24"/>
          <w:u w:val="single"/>
        </w:rPr>
        <w:t xml:space="preserve">now that conserves very large parts of the North American Boreal Forest biome </w:t>
      </w:r>
      <w:r>
        <w:rPr>
          <w:rFonts w:eastAsia="Calibri"/>
          <w:sz w:val="24"/>
          <w:szCs w:val="24"/>
          <w:highlight w:val="yellow"/>
          <w:u w:val="single"/>
        </w:rPr>
        <w:t xml:space="preserve">will provide </w:t>
      </w:r>
      <w:r>
        <w:rPr>
          <w:rFonts w:eastAsia="Calibri"/>
          <w:sz w:val="24"/>
          <w:szCs w:val="24"/>
          <w:u w:val="single"/>
        </w:rPr>
        <w:t xml:space="preserve">the best likelihood of </w:t>
      </w:r>
      <w:r>
        <w:rPr>
          <w:rFonts w:eastAsia="Calibri"/>
          <w:sz w:val="24"/>
          <w:szCs w:val="24"/>
          <w:highlight w:val="yellow"/>
          <w:u w:val="single"/>
        </w:rPr>
        <w:t xml:space="preserve">survival for countless species, including humans. </w:t>
      </w:r>
      <w:r>
        <w:rPr>
          <w:rFonts w:eastAsia="Calibri"/>
          <w:sz w:val="24"/>
          <w:szCs w:val="24"/>
          <w:u w:val="single"/>
        </w:rPr>
        <w:t xml:space="preserve">The most significant land-use planning and conservation proposals underway across the biome are led by Indigenous governments. </w:t>
      </w:r>
      <w:r>
        <w:rPr>
          <w:rFonts w:eastAsia="Calibri"/>
          <w:sz w:val="24"/>
          <w:szCs w:val="24"/>
          <w:highlight w:val="yellow"/>
          <w:u w:val="single"/>
        </w:rPr>
        <w:t>Governments</w:t>
      </w:r>
      <w:r>
        <w:rPr>
          <w:rFonts w:eastAsia="Calibri"/>
          <w:sz w:val="24"/>
          <w:szCs w:val="24"/>
          <w:u w:val="single"/>
        </w:rPr>
        <w:t xml:space="preserve">, non-governmental organizations, </w:t>
      </w:r>
      <w:r>
        <w:rPr>
          <w:rFonts w:eastAsia="Calibri"/>
          <w:sz w:val="24"/>
          <w:szCs w:val="24"/>
          <w:highlight w:val="yellow"/>
          <w:u w:val="single"/>
        </w:rPr>
        <w:t>academics and</w:t>
      </w:r>
      <w:r>
        <w:rPr>
          <w:rFonts w:eastAsia="Calibri"/>
          <w:sz w:val="24"/>
          <w:szCs w:val="24"/>
          <w:u w:val="single"/>
        </w:rPr>
        <w:t xml:space="preserve"> indeed </w:t>
      </w:r>
      <w:r>
        <w:rPr>
          <w:rFonts w:eastAsia="Calibri"/>
          <w:sz w:val="24"/>
          <w:szCs w:val="24"/>
          <w:highlight w:val="yellow"/>
          <w:u w:val="single"/>
        </w:rPr>
        <w:t>the public at large</w:t>
      </w:r>
      <w:r>
        <w:rPr>
          <w:rFonts w:eastAsia="Calibri"/>
          <w:sz w:val="24"/>
          <w:szCs w:val="24"/>
          <w:u w:val="single"/>
        </w:rPr>
        <w:t xml:space="preserve">, </w:t>
      </w:r>
      <w:r>
        <w:rPr>
          <w:rFonts w:eastAsia="Calibri"/>
          <w:sz w:val="24"/>
          <w:szCs w:val="24"/>
          <w:highlight w:val="yellow"/>
          <w:u w:val="single"/>
        </w:rPr>
        <w:t>should</w:t>
      </w:r>
      <w:r>
        <w:rPr>
          <w:rFonts w:eastAsia="Calibri"/>
          <w:sz w:val="24"/>
          <w:szCs w:val="24"/>
          <w:u w:val="single"/>
        </w:rPr>
        <w:t xml:space="preserve"> be </w:t>
      </w:r>
      <w:r>
        <w:rPr>
          <w:rFonts w:eastAsia="Calibri"/>
          <w:sz w:val="24"/>
          <w:szCs w:val="24"/>
          <w:highlight w:val="yellow"/>
          <w:u w:val="single"/>
        </w:rPr>
        <w:t>find</w:t>
      </w:r>
      <w:r>
        <w:rPr>
          <w:rFonts w:eastAsia="Calibri"/>
          <w:sz w:val="24"/>
          <w:szCs w:val="24"/>
          <w:u w:val="single"/>
        </w:rPr>
        <w:t xml:space="preserve">ing </w:t>
      </w:r>
      <w:r>
        <w:rPr>
          <w:rFonts w:eastAsia="Calibri"/>
          <w:sz w:val="24"/>
          <w:szCs w:val="24"/>
          <w:highlight w:val="yellow"/>
          <w:u w:val="single"/>
        </w:rPr>
        <w:t>ways to support</w:t>
      </w:r>
      <w:r>
        <w:rPr>
          <w:rFonts w:eastAsia="Calibri"/>
          <w:sz w:val="24"/>
          <w:szCs w:val="24"/>
          <w:u w:val="single"/>
        </w:rPr>
        <w:t xml:space="preserve"> and encourage Indigenous-led land-use planning, Indigenous guardians and </w:t>
      </w:r>
      <w:r>
        <w:rPr>
          <w:rFonts w:eastAsia="Calibri"/>
          <w:sz w:val="24"/>
          <w:szCs w:val="24"/>
          <w:highlight w:val="yellow"/>
          <w:u w:val="single"/>
        </w:rPr>
        <w:t xml:space="preserve">Indigenous protected and conserved areas. </w:t>
      </w:r>
    </w:p>
    <w:p w14:paraId="0377265E" w14:textId="77777777" w:rsidR="00884C08" w:rsidRDefault="00884C08" w:rsidP="00884C08">
      <w:pPr>
        <w:spacing w:line="256" w:lineRule="auto"/>
        <w:rPr>
          <w:rFonts w:eastAsia="Calibri"/>
        </w:rPr>
      </w:pPr>
      <w:r>
        <w:rPr>
          <w:rFonts w:eastAsia="Calibri"/>
        </w:rPr>
        <w:t xml:space="preserve"> </w:t>
      </w:r>
    </w:p>
    <w:p w14:paraId="0D0792AF" w14:textId="77777777" w:rsidR="00884C08" w:rsidRDefault="00884C08" w:rsidP="00884C08">
      <w:pPr>
        <w:pStyle w:val="Heading4"/>
        <w:spacing w:before="0" w:line="240" w:lineRule="auto"/>
        <w:rPr>
          <w:rFonts w:eastAsia="Calibri" w:cs="Calibri"/>
          <w:b w:val="0"/>
          <w:bCs/>
          <w:color w:val="000000"/>
          <w:szCs w:val="26"/>
        </w:rPr>
      </w:pPr>
      <w:bookmarkStart w:id="4" w:name="_8i5h7bhkukbd" w:colFirst="0" w:colLast="0"/>
      <w:bookmarkEnd w:id="4"/>
      <w:r>
        <w:rPr>
          <w:rFonts w:eastAsia="Calibri" w:cs="Calibri"/>
          <w:bCs/>
          <w:color w:val="000000"/>
          <w:szCs w:val="26"/>
        </w:rPr>
        <w:t>The plan aligns with decades of Gwich’in and Inupiat, local advocacy to protect sovereignty and ecosystems in areas like the Arctic National Wildlife Refuge (ANWR)</w:t>
      </w:r>
    </w:p>
    <w:p w14:paraId="7692EF54" w14:textId="77777777" w:rsidR="00884C08" w:rsidRDefault="00884C08" w:rsidP="00884C08">
      <w:pPr>
        <w:spacing w:line="240" w:lineRule="auto"/>
        <w:rPr>
          <w:rFonts w:eastAsia="Calibri"/>
        </w:rPr>
      </w:pPr>
    </w:p>
    <w:p w14:paraId="7DF46CB6" w14:textId="77777777" w:rsidR="00884C08" w:rsidRDefault="00884C08" w:rsidP="00884C08">
      <w:pPr>
        <w:spacing w:line="256" w:lineRule="auto"/>
        <w:rPr>
          <w:rFonts w:eastAsia="Calibri"/>
        </w:rPr>
      </w:pPr>
      <w:r>
        <w:rPr>
          <w:rFonts w:eastAsia="Calibri"/>
          <w:b/>
          <w:bCs/>
          <w:u w:val="single"/>
        </w:rPr>
        <w:lastRenderedPageBreak/>
        <w:t>Zentner et al 19</w:t>
      </w:r>
      <w:r>
        <w:rPr>
          <w:rFonts w:eastAsia="Calibri"/>
        </w:rPr>
        <w:t xml:space="preserve"> [Zentner, Emilie, Maik Kecinski, Angeline Letourneau, and Debra Davidson. "Ignoring Indigenous peoples—climate change, oil development, and Indigenous rights clash in the Arctic National Wildlife Refuge." Climatic Change 155, no. 4 (2019): 533-544.]</w:t>
      </w:r>
    </w:p>
    <w:p w14:paraId="24FB846B" w14:textId="77777777" w:rsidR="00884C08" w:rsidRDefault="00884C08" w:rsidP="00884C08">
      <w:pPr>
        <w:spacing w:line="256" w:lineRule="auto"/>
        <w:rPr>
          <w:rFonts w:eastAsia="Calibri"/>
          <w:u w:val="single"/>
        </w:rPr>
      </w:pPr>
      <w:r>
        <w:rPr>
          <w:rFonts w:eastAsia="Calibri"/>
          <w:sz w:val="16"/>
          <w:szCs w:val="16"/>
        </w:rPr>
        <w:t>The</w:t>
      </w:r>
      <w:r>
        <w:rPr>
          <w:rFonts w:eastAsia="Calibri"/>
          <w:u w:val="single"/>
        </w:rPr>
        <w:t xml:space="preserve"> </w:t>
      </w:r>
      <w:r>
        <w:rPr>
          <w:rFonts w:eastAsia="Calibri"/>
          <w:highlight w:val="yellow"/>
          <w:u w:val="single"/>
        </w:rPr>
        <w:t>value of I</w:t>
      </w:r>
      <w:r>
        <w:rPr>
          <w:rFonts w:eastAsia="Calibri"/>
          <w:u w:val="single"/>
        </w:rPr>
        <w:t>ndigenous</w:t>
      </w:r>
      <w:r>
        <w:rPr>
          <w:rFonts w:eastAsia="Calibri"/>
          <w:highlight w:val="yellow"/>
          <w:u w:val="single"/>
        </w:rPr>
        <w:t xml:space="preserve"> k</w:t>
      </w:r>
      <w:r>
        <w:rPr>
          <w:rFonts w:eastAsia="Calibri"/>
          <w:u w:val="single"/>
        </w:rPr>
        <w:t xml:space="preserve">nowledge to climate change science and adaptation planning has </w:t>
      </w:r>
      <w:r>
        <w:rPr>
          <w:rFonts w:eastAsia="Calibri"/>
          <w:highlight w:val="yellow"/>
          <w:u w:val="single"/>
        </w:rPr>
        <w:t>been</w:t>
      </w:r>
      <w:r>
        <w:rPr>
          <w:rFonts w:eastAsia="Calibri"/>
          <w:u w:val="single"/>
        </w:rPr>
        <w:t xml:space="preserve"> </w:t>
      </w:r>
      <w:r>
        <w:rPr>
          <w:rFonts w:eastAsia="Calibri"/>
          <w:highlight w:val="yellow"/>
          <w:u w:val="single"/>
        </w:rPr>
        <w:t xml:space="preserve">well-recognized in </w:t>
      </w:r>
      <w:r>
        <w:rPr>
          <w:rFonts w:eastAsia="Calibri"/>
          <w:u w:val="single"/>
        </w:rPr>
        <w:t>the</w:t>
      </w:r>
      <w:r>
        <w:rPr>
          <w:rFonts w:eastAsia="Calibri"/>
          <w:highlight w:val="yellow"/>
          <w:u w:val="single"/>
        </w:rPr>
        <w:t xml:space="preserve"> academic community. Incorporatin</w:t>
      </w:r>
      <w:r>
        <w:rPr>
          <w:rFonts w:eastAsia="Calibri"/>
          <w:u w:val="single"/>
        </w:rPr>
        <w:t xml:space="preserve">g Indigenous knowledge </w:t>
      </w:r>
      <w:r>
        <w:rPr>
          <w:rFonts w:eastAsia="Calibri"/>
          <w:highlight w:val="yellow"/>
          <w:u w:val="single"/>
        </w:rPr>
        <w:t xml:space="preserve">into discussions </w:t>
      </w:r>
      <w:r>
        <w:rPr>
          <w:rFonts w:eastAsia="Calibri"/>
          <w:u w:val="single"/>
        </w:rPr>
        <w:t xml:space="preserve">around climate change (and other environmental and social issues) is </w:t>
      </w:r>
      <w:r>
        <w:rPr>
          <w:rFonts w:eastAsia="Calibri"/>
          <w:highlight w:val="yellow"/>
          <w:u w:val="single"/>
        </w:rPr>
        <w:t>important</w:t>
      </w:r>
      <w:r>
        <w:rPr>
          <w:rFonts w:eastAsia="Calibri"/>
          <w:u w:val="single"/>
        </w:rPr>
        <w:t xml:space="preserve"> both in terms of understanding these changes and in developing beneficial mitigation strategies</w:t>
      </w:r>
      <w:r>
        <w:rPr>
          <w:rFonts w:eastAsia="Calibri"/>
          <w:sz w:val="16"/>
          <w:szCs w:val="16"/>
        </w:rPr>
        <w:t xml:space="preserve"> (Parlee et al. 2018; Parlee and Caine 2018; Green et al. 2010)</w:t>
      </w:r>
      <w:r>
        <w:rPr>
          <w:rFonts w:eastAsia="Calibri"/>
        </w:rPr>
        <w:t xml:space="preserve">. </w:t>
      </w:r>
      <w:r>
        <w:rPr>
          <w:rFonts w:eastAsia="Calibri"/>
          <w:u w:val="single"/>
        </w:rPr>
        <w:t>This has also been recognized by the Intergovernmental Panel on Climate Change (IPCC), who lists local knowledge as a climate change adaptation option in its“Global Warming of 1.5°C” report (IPCC 2018)</w:t>
      </w:r>
      <w:r>
        <w:rPr>
          <w:rFonts w:eastAsia="Calibri"/>
        </w:rPr>
        <w:t xml:space="preserve">. </w:t>
      </w:r>
      <w:r>
        <w:rPr>
          <w:rFonts w:eastAsia="Calibri"/>
          <w:sz w:val="16"/>
          <w:szCs w:val="16"/>
        </w:rPr>
        <w:t>Specifically, the authors of this report state that, “… ap- proaches, including those that are informed by indigenous knowledge and local knowl- edge, can accelerate the wide-scale behaviour changes consistent with adapting to and limiting global warming to 1.5°C” (IPCC 2018). However, while scientific knowledge, for example from remote weather stations, is available through government sources; the distribution of local knowledge is limited (Pennesi et al. 2012). 536 Climatic Change (2019) 155:533–544 Moreover,</w:t>
      </w:r>
      <w:r>
        <w:rPr>
          <w:rFonts w:eastAsia="Calibri"/>
        </w:rPr>
        <w:t xml:space="preserve"> </w:t>
      </w:r>
      <w:r>
        <w:rPr>
          <w:rFonts w:eastAsia="Calibri"/>
          <w:u w:val="single"/>
        </w:rPr>
        <w:t>including Indigenous knowledge1 in the ongoing climate change debate</w:t>
      </w:r>
      <w:r>
        <w:rPr>
          <w:rFonts w:eastAsia="Calibri"/>
        </w:rPr>
        <w:t xml:space="preserve"> </w:t>
      </w:r>
      <w:r>
        <w:rPr>
          <w:rFonts w:eastAsia="Calibri"/>
          <w:sz w:val="16"/>
          <w:szCs w:val="16"/>
        </w:rPr>
        <w:t>offers new and important insights not sufficiently addressed by climate science itself and will likely be beneficial in a number of aspects. For example, it</w:t>
      </w:r>
      <w:r>
        <w:rPr>
          <w:rFonts w:eastAsia="Calibri"/>
        </w:rPr>
        <w:t xml:space="preserve"> </w:t>
      </w:r>
      <w:r>
        <w:rPr>
          <w:rFonts w:eastAsia="Calibri"/>
          <w:u w:val="single"/>
        </w:rPr>
        <w:t xml:space="preserve">will draw attention to currently understudied issues (or issues which have not been recognized by science previously) that are of particular importance to Indigenous people and that may hold important relevance on a global scale </w:t>
      </w:r>
      <w:r>
        <w:rPr>
          <w:rFonts w:eastAsia="Calibri"/>
          <w:sz w:val="16"/>
          <w:szCs w:val="16"/>
        </w:rPr>
        <w:t>(Riedlinger and Fikret Berkes 2001; Weatherhead et al. 2010)</w:t>
      </w:r>
      <w:r>
        <w:rPr>
          <w:rFonts w:eastAsia="Calibri"/>
        </w:rPr>
        <w:t>.</w:t>
      </w:r>
      <w:r>
        <w:rPr>
          <w:rFonts w:eastAsia="Calibri"/>
          <w:u w:val="single"/>
        </w:rPr>
        <w:t xml:space="preserve"> Indigenous knowledge has been shown, in the few instances where these projects exist, to confirm or complement scientific data</w:t>
      </w:r>
      <w:r>
        <w:rPr>
          <w:rFonts w:eastAsia="Calibri"/>
        </w:rPr>
        <w:t xml:space="preserve"> </w:t>
      </w:r>
      <w:r>
        <w:rPr>
          <w:rFonts w:eastAsia="Calibri"/>
          <w:sz w:val="16"/>
          <w:szCs w:val="16"/>
        </w:rPr>
        <w:t xml:space="preserve">(Laidler 2006; Laidler et al. 2009; Brace and Geoghegan 2011)— for example Couzin (2007) reports that Indigenous peoples’ observations about snow depth in northern Norway coincided with long-term scientific recordings; this is a particularly important aspect as it holds the potential to strengthen evidence collected by scientists. Lastly, the inclusion of Indigenous knowledge has the potential for understanding climate change from different viewpoints, which may significantly improve potential interventions through policy (Hulme 2011; Leduc 2007). </w:t>
      </w:r>
      <w:r>
        <w:rPr>
          <w:rFonts w:eastAsia="Calibri"/>
          <w:u w:val="single"/>
        </w:rPr>
        <w:t>As the current case makes clear, however, justification for engagement of Indigenous peoples in both climate change and energy development decisions does not rest solely on the instrumental value of their knowledge; it rests most centrally upon their rights.</w:t>
      </w:r>
      <w:r>
        <w:rPr>
          <w:rFonts w:eastAsia="Calibri"/>
          <w:sz w:val="16"/>
          <w:szCs w:val="16"/>
          <w:u w:val="single"/>
        </w:rPr>
        <w:t xml:space="preserve"> </w:t>
      </w:r>
      <w:r>
        <w:rPr>
          <w:rFonts w:eastAsia="Calibri"/>
          <w:sz w:val="16"/>
          <w:szCs w:val="16"/>
        </w:rPr>
        <w:t>Consulta- tion and free prior informed consent (FPIC) are codified in the United Nations Declaration on the Rights of Indigenous Peoples (UNDRIP 2007). The objective of FPIC is to obtain more equitable processes and participatory engagement with Indigenous groups, particularly with respect to extractive resource development projects. The Inuit peoples themselves have long recognized the threats posed by climate change at a time when many in North America were still debating its existence: in 2005, the Inuit of Alaska, Nunavut and Northwest Territories petitioned the Inter-American Commission on Human Rights, arguing that the USA, as a main contributor to anthropogenic climate change, was violating their rights to the use of land for subsistence, health, life, and security (Wright 2014). As stated by Siila Watt-Cloutier, one of the leading authors of the petition,“For us [the Inuit], climate is an issue of our right to exist as an Indigenous people” (Quoted in Wright 2014, p. 216). Nonetheless, in the USA, failures by the federal government to adequately consult and respect Indigenous peoples leads to increased conflict and particularly dire social and ecolog- ical circumstances. The intersections between the rights of the Indigenous peoples of Alaska and energy development can be traced back to the 1960s, when the discovery of oil became a primary impetus for securing access to subsurface resources and hence to clarify the state’s jurisdiction (Shearer 2011)</w:t>
      </w:r>
      <w:r>
        <w:rPr>
          <w:rFonts w:eastAsia="Calibri"/>
        </w:rPr>
        <w:t xml:space="preserve">. </w:t>
      </w:r>
      <w:r>
        <w:rPr>
          <w:rFonts w:eastAsia="Calibri"/>
          <w:u w:val="single"/>
        </w:rPr>
        <w:t>T</w:t>
      </w:r>
      <w:r>
        <w:rPr>
          <w:rFonts w:eastAsia="Calibri"/>
          <w:highlight w:val="yellow"/>
          <w:u w:val="single"/>
        </w:rPr>
        <w:t>he Alaska Native Claims Settlement Act of 1971 gave Indige- nous peoples title to a large land base that</w:t>
      </w:r>
      <w:r>
        <w:rPr>
          <w:rFonts w:eastAsia="Calibri"/>
          <w:u w:val="single"/>
        </w:rPr>
        <w:t xml:space="preserve"> notably </w:t>
      </w:r>
      <w:r>
        <w:rPr>
          <w:rFonts w:eastAsia="Calibri"/>
          <w:highlight w:val="yellow"/>
          <w:u w:val="single"/>
        </w:rPr>
        <w:t>excluded lands then known to hold oil development potential and,</w:t>
      </w:r>
      <w:r>
        <w:rPr>
          <w:rFonts w:eastAsia="Calibri"/>
          <w:u w:val="single"/>
        </w:rPr>
        <w:t xml:space="preserve"> in exchange, </w:t>
      </w:r>
      <w:r>
        <w:rPr>
          <w:rFonts w:eastAsia="Calibri"/>
          <w:highlight w:val="yellow"/>
          <w:u w:val="single"/>
        </w:rPr>
        <w:t xml:space="preserve">extinguished all claims </w:t>
      </w:r>
      <w:r>
        <w:rPr>
          <w:rFonts w:eastAsia="Calibri"/>
          <w:u w:val="single"/>
        </w:rPr>
        <w:t xml:space="preserve">that previously had covered a far more extensive land base. In the ANWR, containing some of the last unspoiled and undeveloped land in existence today (details in Section 3), the </w:t>
      </w:r>
      <w:r>
        <w:rPr>
          <w:rFonts w:eastAsia="Calibri"/>
          <w:highlight w:val="yellow"/>
          <w:u w:val="single"/>
        </w:rPr>
        <w:t xml:space="preserve">Gwich’in people of Alaska and the Yukon continue to seek protection of their homeland and their livelihoods, </w:t>
      </w:r>
      <w:r>
        <w:rPr>
          <w:rFonts w:eastAsia="Calibri"/>
          <w:u w:val="single"/>
        </w:rPr>
        <w:t xml:space="preserve">which today face simultaneous threats from the effects of climate change and resource development. </w:t>
      </w:r>
      <w:r>
        <w:rPr>
          <w:rFonts w:eastAsia="Calibri"/>
          <w:highlight w:val="yellow"/>
          <w:u w:val="single"/>
        </w:rPr>
        <w:t xml:space="preserve">The Gwich’in people would be most </w:t>
      </w:r>
      <w:r>
        <w:rPr>
          <w:rFonts w:eastAsia="Calibri"/>
          <w:u w:val="single"/>
        </w:rPr>
        <w:t>directly</w:t>
      </w:r>
      <w:r>
        <w:rPr>
          <w:rFonts w:eastAsia="Calibri"/>
          <w:highlight w:val="yellow"/>
          <w:u w:val="single"/>
        </w:rPr>
        <w:t xml:space="preserve"> impacted by energy development in the ANWR, yet, </w:t>
      </w:r>
      <w:r>
        <w:rPr>
          <w:rFonts w:eastAsia="Calibri"/>
          <w:u w:val="single"/>
        </w:rPr>
        <w:t xml:space="preserve">according to the Gwich’in, </w:t>
      </w:r>
      <w:r>
        <w:rPr>
          <w:rFonts w:eastAsia="Calibri"/>
          <w:highlight w:val="yellow"/>
          <w:u w:val="single"/>
        </w:rPr>
        <w:t>no attempts were made by the US admin</w:t>
      </w:r>
      <w:r>
        <w:rPr>
          <w:rFonts w:eastAsia="Calibri"/>
          <w:u w:val="single"/>
        </w:rPr>
        <w:t xml:space="preserve">istration </w:t>
      </w:r>
      <w:r>
        <w:rPr>
          <w:rFonts w:eastAsia="Calibri"/>
          <w:highlight w:val="yellow"/>
          <w:u w:val="single"/>
        </w:rPr>
        <w:t>to consult</w:t>
      </w:r>
      <w:r>
        <w:rPr>
          <w:rFonts w:eastAsia="Calibri"/>
          <w:u w:val="single"/>
        </w:rPr>
        <w:t xml:space="preserve"> on current resource development plans. Hence, the</w:t>
      </w:r>
      <w:r>
        <w:rPr>
          <w:rFonts w:eastAsia="Calibri"/>
          <w:highlight w:val="yellow"/>
          <w:u w:val="single"/>
        </w:rPr>
        <w:t xml:space="preserve"> </w:t>
      </w:r>
      <w:r>
        <w:rPr>
          <w:rFonts w:eastAsia="Calibri"/>
          <w:u w:val="single"/>
        </w:rPr>
        <w:t>threats to the culture and liveli- hoods of the Gwich’in posed by energy development, particularly in light of the threats already posed by climate change, have not been sufficiently incorporated into development planning.</w:t>
      </w:r>
      <w:r>
        <w:rPr>
          <w:rFonts w:eastAsia="Calibri"/>
          <w:sz w:val="16"/>
          <w:szCs w:val="16"/>
          <w:u w:val="single"/>
        </w:rPr>
        <w:t xml:space="preserve"> </w:t>
      </w:r>
      <w:r>
        <w:rPr>
          <w:rFonts w:eastAsia="Calibri"/>
          <w:sz w:val="16"/>
          <w:szCs w:val="16"/>
        </w:rPr>
        <w:t xml:space="preserve">This appears not only neglectful but also contrary to official US policy. Section F. of the US Department of Justice Policy on Indian Sovereignty states that,“The Department also recog- nizes the significant federal interest in aiding tribes in the preservation of their tribal customs and traditions… and seek to preserve tribal cultures.” This exclusion also appears to conflict with a prior treaty signed with Canada in 1987 that specifies the importance of the Porcupine Caribou herds (a spiritual and subsistence corner- stone of Gwich’in culture), stating that,“the Porcupine Caribou Herd regularly migrates across the international boundary between Canada and the United States of America and that caribou in their large free-roaming herds comprise a unique and irreplaceable natural resource of great value which each generation should maintain and make use of so as to conserve them for future generations;” and that“The objectives of the Parties are: To conserve the Porcupine Caribou Herd and its habitat through international co-operation and co-ordination so that the risk of irreversible damage or long-term adverse effects as a result of use of caribou or their habitat is minimized…” (Global Affairs Canada 2018). The US government has recognized the importance of Indigenous culture and connections between the land, the Caribou herds, and the Gwich’in; however, these important values have not entered the current debate. In what follows, we discuss the significant potential for materialization of threats to the rights of Indigenous peoples when adequate consultation does not take place and the impli- cations of that exclusion for effective climate and environmental governance. We draw on analysis of the perspectives and concerns of the Gwich’in people from multiple sources, including an interview with the Director of </w:t>
      </w:r>
      <w:r>
        <w:rPr>
          <w:rFonts w:eastAsia="Calibri"/>
          <w:sz w:val="16"/>
          <w:szCs w:val="16"/>
        </w:rPr>
        <w:lastRenderedPageBreak/>
        <w:t>the Gwich’in Steering Committee tasked with protection of the Coastal Plain</w:t>
      </w:r>
      <w:r>
        <w:rPr>
          <w:rFonts w:eastAsia="Calibri"/>
        </w:rPr>
        <w:t xml:space="preserve">. </w:t>
      </w:r>
      <w:r>
        <w:rPr>
          <w:rFonts w:eastAsia="Calibri"/>
          <w:highlight w:val="yellow"/>
          <w:u w:val="single"/>
        </w:rPr>
        <w:t xml:space="preserve">The Gwich’in Steering Committee was formed </w:t>
      </w:r>
      <w:r>
        <w:rPr>
          <w:rFonts w:eastAsia="Calibri"/>
          <w:u w:val="single"/>
        </w:rPr>
        <w:t xml:space="preserve">in 1988 </w:t>
      </w:r>
      <w:r>
        <w:rPr>
          <w:rFonts w:eastAsia="Calibri"/>
          <w:highlight w:val="yellow"/>
          <w:u w:val="single"/>
        </w:rPr>
        <w:t>to address the health</w:t>
      </w:r>
      <w:r>
        <w:rPr>
          <w:rFonts w:eastAsia="Calibri"/>
          <w:u w:val="single"/>
        </w:rPr>
        <w:t xml:space="preserve"> and productive capacity of </w:t>
      </w:r>
      <w:r>
        <w:rPr>
          <w:rFonts w:eastAsia="Calibri"/>
          <w:highlight w:val="yellow"/>
          <w:u w:val="single"/>
        </w:rPr>
        <w:t xml:space="preserve">the Porcupine Caribou Herd and </w:t>
      </w:r>
      <w:r>
        <w:rPr>
          <w:rFonts w:eastAsia="Calibri"/>
          <w:u w:val="single"/>
        </w:rPr>
        <w:t>to protect</w:t>
      </w:r>
      <w:r>
        <w:rPr>
          <w:rFonts w:eastAsia="Calibri"/>
          <w:highlight w:val="yellow"/>
          <w:u w:val="single"/>
        </w:rPr>
        <w:t xml:space="preserve"> the future of the Gwich’in People</w:t>
      </w:r>
      <w:r>
        <w:rPr>
          <w:rFonts w:eastAsia="Calibri"/>
          <w:u w:val="single"/>
        </w:rPr>
        <w:t xml:space="preserve">. This unified objective was reaffirmed in the 2012“Resolution to Protect the Birthplace and Nursery Grounds of the Porcupine Caribou Herd” in which the Gwich’in people“reached consensus in our traditional way, and speak with one voice” (Gwich’in Niinstayaa 2012). </w:t>
      </w:r>
      <w:r>
        <w:rPr>
          <w:rFonts w:eastAsia="Calibri"/>
          <w:highlight w:val="yellow"/>
          <w:u w:val="single"/>
        </w:rPr>
        <w:t xml:space="preserve">For the past three decades, the </w:t>
      </w:r>
      <w:r>
        <w:rPr>
          <w:rFonts w:eastAsia="Calibri"/>
          <w:u w:val="single"/>
        </w:rPr>
        <w:t xml:space="preserve">Gwich’in Steering </w:t>
      </w:r>
      <w:r>
        <w:rPr>
          <w:rFonts w:eastAsia="Calibri"/>
          <w:highlight w:val="yellow"/>
          <w:u w:val="single"/>
        </w:rPr>
        <w:t>Committee has spoken with a unified voice</w:t>
      </w:r>
      <w:r>
        <w:rPr>
          <w:rFonts w:eastAsia="Calibri"/>
          <w:u w:val="single"/>
        </w:rPr>
        <w:t xml:space="preserve">, guided by Gwich’in elders, to protect the Coastal Plain and the future of their people (HR1146 Statement 2019). </w:t>
      </w:r>
      <w:r>
        <w:rPr>
          <w:rFonts w:eastAsia="Calibri"/>
          <w:sz w:val="16"/>
          <w:szCs w:val="16"/>
        </w:rPr>
        <w:t>This analysis is juxtaposed to the key ar guments of proponents in support of oil and gas development in the ANWR—namely energy independence and economic growth. Our analysis calls into question how the USA understands and interprets its responsibility to enhance social welfare with respect to resource development and management. 3 The Arctic National Wildlife Refuge (Fig. 1) Revered for its ecological, traditional, and cultural significance for Northern Indigenous peoples, conservation efforts in the 19-million-acre ANWR began in 1957 and were formal- ized in the Alaska National Interest Lands Conservation Act (ANILCA) in 1980. The purpose of ANILCA includes the fulfillment of international treaty obligations, in particular for fish and wildlife populations (USFWS 2012)</w:t>
      </w:r>
      <w:r>
        <w:rPr>
          <w:rFonts w:eastAsia="Calibri"/>
        </w:rPr>
        <w:t xml:space="preserve">. </w:t>
      </w:r>
      <w:r>
        <w:rPr>
          <w:rFonts w:eastAsia="Calibri"/>
          <w:highlight w:val="yellow"/>
          <w:u w:val="single"/>
        </w:rPr>
        <w:t xml:space="preserve">The ANWR serves as habitat for the Arctic Caribou herds, a critical food, cultural, and spiritual resource for the Gwich’in and Inupiat peoples </w:t>
      </w:r>
      <w:r>
        <w:rPr>
          <w:rFonts w:eastAsia="Calibri"/>
          <w:sz w:val="16"/>
          <w:szCs w:val="16"/>
          <w:highlight w:val="yellow"/>
        </w:rPr>
        <w:t>(</w:t>
      </w:r>
      <w:r>
        <w:rPr>
          <w:rFonts w:eastAsia="Calibri"/>
          <w:sz w:val="16"/>
          <w:szCs w:val="16"/>
        </w:rPr>
        <w:t>Gwich’in Steering Committee 2019) (Fig. 2). Of particular significance to Indigenous peoples is a specific 1.5-million-acre section of the ANWR called the“1002 Area” or “Coastal Plain,” that serves as the calving grounds for the Porcupine Caribou herd, called“Iizhik Gwats’an Gwandaii Goodlit” (The Sacred Place Where Life Begins). Caribou have a low growth capacity and are vulnerable to natural and anthropogenic factors including climate change and resource development (Walsh et al. 1995; van Tuyn 2014). Continued development is antic- ipated to cause habitat displacement, increased predation, and reduced calf survival rates (Parlee et al. 2018). It is our belief that</w:t>
      </w:r>
      <w:r>
        <w:rPr>
          <w:rFonts w:eastAsia="Calibri"/>
        </w:rPr>
        <w:t xml:space="preserve"> t</w:t>
      </w:r>
      <w:r>
        <w:rPr>
          <w:rFonts w:eastAsia="Calibri"/>
          <w:u w:val="single"/>
        </w:rPr>
        <w:t xml:space="preserve">he future of the Gwich’in and the future of the Caribou are the same. Harm to the Porcupine Caribou Herds is harm to the Gwich’in culture and millennia-old way of Life (Gwich’in elder Jonathon Solomon). </w:t>
      </w:r>
      <w:r>
        <w:rPr>
          <w:rFonts w:eastAsia="Calibri"/>
          <w:highlight w:val="yellow"/>
          <w:u w:val="single"/>
        </w:rPr>
        <w:t xml:space="preserve">This same region also contains </w:t>
      </w:r>
      <w:r>
        <w:rPr>
          <w:rFonts w:eastAsia="Calibri"/>
          <w:u w:val="single"/>
        </w:rPr>
        <w:t xml:space="preserve">an estimated mean volume of </w:t>
      </w:r>
      <w:r>
        <w:rPr>
          <w:rFonts w:eastAsia="Calibri"/>
          <w:highlight w:val="yellow"/>
          <w:u w:val="single"/>
        </w:rPr>
        <w:t>undiscovered liquid petroleum o</w:t>
      </w:r>
      <w:r>
        <w:rPr>
          <w:rFonts w:eastAsia="Calibri"/>
          <w:u w:val="single"/>
        </w:rPr>
        <w:t>f about 10 billion barrels (Houseknecht and Bird 2006).</w:t>
      </w:r>
      <w:r>
        <w:rPr>
          <w:rFonts w:eastAsia="Calibri"/>
        </w:rPr>
        <w:t xml:space="preserve"> </w:t>
      </w:r>
      <w:r>
        <w:rPr>
          <w:rFonts w:eastAsia="Calibri"/>
          <w:sz w:val="16"/>
          <w:szCs w:val="16"/>
        </w:rPr>
        <w:t>The United States Geological Service (USGS) estimated the amount of technically recoverable oil in the ANWR to be roughly 2 months of world oil supply on the low end, or about half a year’s worth on the high end. The estimated volume of economically recoverable oil, on the other hand, depends on the world market price and tends to be much lower (USGS 1998; Hahn and Passell 2001, Kotchen and Burger 2007). The“to drill or not to drill” debate has been ongoing for decades: former President Clinton stated in his December 5, 1995, veto that proposed legislation to open the ANWR to drilling would“threat[en] a unique, pristine ecosystem in hopes of generating $1.3 billion in Federal revenues—a revenue estimate based on wishful thinking and outdated analysis. I want to protect this biologically rich wilderness permanently” (U.S. Government 1995)</w:t>
      </w:r>
      <w:r>
        <w:rPr>
          <w:rFonts w:eastAsia="Calibri"/>
        </w:rPr>
        <w:t xml:space="preserve">. </w:t>
      </w:r>
      <w:r>
        <w:rPr>
          <w:rFonts w:eastAsia="Calibri"/>
          <w:u w:val="single"/>
        </w:rPr>
        <w:t xml:space="preserve">Yet, on March 28, 2017, US President Trump signed Executive Order 13783 regarding energy independence and economic growth, leading the US Fish and Wildlife Service and US Department of the Interior to issue a memorandum to update the regulations limiting oil exploration and development in the AWNR 5 months later. This and the 2017 Tax Cuts and Jobs Act allowed new exploration plans to proceed in the Coastal Plain. However, uncertainty 540 Climatic Change (2019) 155:533–544 surrounding </w:t>
      </w:r>
      <w:r>
        <w:rPr>
          <w:rFonts w:eastAsia="Calibri"/>
          <w:highlight w:val="yellow"/>
          <w:u w:val="single"/>
        </w:rPr>
        <w:t xml:space="preserve">the extent to which the economic benefits of oil development would </w:t>
      </w:r>
      <w:r>
        <w:rPr>
          <w:rFonts w:eastAsia="Calibri"/>
          <w:u w:val="single"/>
        </w:rPr>
        <w:t xml:space="preserve">indeed materialize and </w:t>
      </w:r>
      <w:r>
        <w:rPr>
          <w:rFonts w:eastAsia="Calibri"/>
          <w:highlight w:val="yellow"/>
          <w:u w:val="single"/>
        </w:rPr>
        <w:t>be distributed equally, whether the Gwich’in agreed</w:t>
      </w:r>
      <w:r>
        <w:rPr>
          <w:rFonts w:eastAsia="Calibri"/>
          <w:u w:val="single"/>
        </w:rPr>
        <w:t xml:space="preserve"> with the appropriateness of these benefit criteria, and what other criteria should be considered are all pertinent issues that </w:t>
      </w:r>
      <w:r>
        <w:rPr>
          <w:rFonts w:eastAsia="Calibri"/>
          <w:highlight w:val="yellow"/>
          <w:u w:val="single"/>
        </w:rPr>
        <w:t>have</w:t>
      </w:r>
      <w:r>
        <w:rPr>
          <w:rFonts w:eastAsia="Calibri"/>
          <w:u w:val="single"/>
        </w:rPr>
        <w:t xml:space="preserve"> largely </w:t>
      </w:r>
      <w:r>
        <w:rPr>
          <w:rFonts w:eastAsia="Calibri"/>
          <w:highlight w:val="yellow"/>
          <w:u w:val="single"/>
        </w:rPr>
        <w:t>been sidelined.</w:t>
      </w:r>
      <w:r>
        <w:rPr>
          <w:rFonts w:eastAsia="Calibri"/>
          <w:u w:val="single"/>
        </w:rPr>
        <w:t xml:space="preserve"> </w:t>
      </w:r>
      <w:r>
        <w:rPr>
          <w:rFonts w:eastAsia="Calibri"/>
          <w:sz w:val="16"/>
          <w:szCs w:val="16"/>
        </w:rPr>
        <w:t>4 An ignored Gwich’in perspective2 on climate change, sovereignty, and the long run According to the Gwich’in, impacts to their culture, livelihoods, and futures in the ANWR are more tangible and significant than any monetary consideration. In contradistinction to eco- nomic and energy considerations, foremost among Gwich’in values, and one that is immedi- ately threatened by oil and gas development, as expressed by the Director of the Gwich’in Steering Committee, is their assumed responsibility to protect the land: We are not against all oil development, we understand that we need it in this world right now, but who destroys such sensitive and sacred areas? It is not the way to take care of this, this is the last untouched ecosystem in the world and we want to leave this world as it was in the beginning not just when we’re done with it. Our future generations have that right to see this world as it was in the beginning of time. Threats to the health of the land, moreover, pose direct threats to Gwich’in culture and identity. In the words of the Gwich’in Steering Committee Director: If it was a perfect world they [politicians] would understand our human rights as Indigenous people; there is more to Alaska than making money. They would understand that Alaska is a beautiful place. This is one place that is actually what it was like in the beginning: untouched and unspoiled - Our Identity is non-negotiable. The Gwich’in places a strong emphasis on the continuation of their traditions and culture. A crucial difference between the views of the US government and the Gwich’in is the emphasis on subsistence living. The Director of the Gwich’in Steering Committee emphasized the importance of protecting the land on which they depend. The ANWR is already dispropor- tionately impacted by climate change leaving the Gwich’in more vulnerable to these changes and reducing their adaptation and mitigation abilities now and in the long-run. The Gwich’in people have always and will always survive off of the land, our water, and our animals. We don’t depend on short term goals, we think about what is going to be here for generations ahead and that is our land, our water, and our animals. And therefore, we are raised to protect these places, these things for our future generations. We always make sure that the long term is taken care of - that is our land, our water, our Porcupine Caribou herd. One reason that makes the inclusion of Indigenous voices in the broader debate on climate change mitigation and adaptation so important stems from the fact that Western worldviews have cultivated a human detachment from the natural world that serves to enable exploitation of resources without consideration for both social and ecological well-being (Dunlap and van Liere 1984).</w:t>
      </w:r>
      <w:r>
        <w:rPr>
          <w:rFonts w:eastAsia="Calibri"/>
          <w:u w:val="single"/>
        </w:rPr>
        <w:t xml:space="preserve"> The Worldviews embraced by Gwich’in and other Indigenous peoples offer a more ecologically embedded depiction of the role of humans that may be far more appropriate to the effective climate and resource governance.</w:t>
      </w:r>
      <w:r>
        <w:rPr>
          <w:rFonts w:eastAsia="Calibri"/>
          <w:sz w:val="16"/>
          <w:szCs w:val="16"/>
        </w:rPr>
        <w:t xml:space="preserve"> The director notes that the Gwich’in Steering Committee seeks unity among Indigenous peoples:“At one time, they didn’t have [the] same view. But now I believe that is changing very quickly with our quickly changing climate. A lot of people have changed their views on this because they now see that we need our food security, we need to survive. Once [the caribou] are gone, then </w:t>
      </w:r>
      <w:r>
        <w:rPr>
          <w:rFonts w:eastAsia="Calibri"/>
          <w:sz w:val="16"/>
          <w:szCs w:val="16"/>
        </w:rPr>
        <w:lastRenderedPageBreak/>
        <w:t>what? What are we going to survive off of? Herds are declining elsewhere.”</w:t>
      </w:r>
      <w:r>
        <w:rPr>
          <w:rFonts w:eastAsia="Calibri"/>
        </w:rPr>
        <w:t xml:space="preserve"> </w:t>
      </w:r>
      <w:r>
        <w:rPr>
          <w:rFonts w:eastAsia="Calibri"/>
          <w:u w:val="single"/>
        </w:rPr>
        <w:t>There is tremendous potential for advancing the climate change debate and re-evaluating natural resource development proposals, but the opportunities to do so have been foreclosed in ANWR. According to the Director: we have not been contacted in any way whatsoever, this is our homeland, no one is going to protect this for us. I don’t understand government, they’re supposed to help people but it seems like they’re helping corporations instead - it hurts. I’ve gone 3 years in a row to Washington DC, we gain a lot of really good people, they listen with their heart and they know what is it at stake but still don’t change their vote; still won’t get on board, they have other agendas, they want to stay on people’s good side. 5</w:t>
      </w:r>
      <w:r>
        <w:rPr>
          <w:rFonts w:eastAsia="Calibri"/>
        </w:rPr>
        <w:t xml:space="preserve"> Where to go from here Climate change, energy development, and the rights of Indigenous peoples are highly likely to collide with increasing frequency in many places across the globe. This situation compels climate researchers and policymakers alike to recognize and attend to these intersections. Proponents have justified the US government plans to pursue oil development in the ANWR by claims of energy independence and economic growth. We could find no peer-reviewed literature that supports such claims; even optimistic estimates show only moderate contributions to domestic oil supplies and modest monetary gains. </w:t>
      </w:r>
      <w:r>
        <w:rPr>
          <w:rFonts w:eastAsia="Calibri"/>
          <w:u w:val="single"/>
        </w:rPr>
        <w:t>On the other hand, the proposed development is likely to have severe consequences on the Gwich’in and Indigenous peoples of the Arctic. The escalating climate change impacts to the region will intersect with the impacts of proposed development activities, constituting cumulative effects on the livelihoods of Indigenous peoples.</w:t>
      </w:r>
      <w:r>
        <w:rPr>
          <w:rFonts w:eastAsia="Calibri"/>
        </w:rPr>
        <w:t xml:space="preserve"> Concerns primarily (though not exclusively) involve the well-being of the Porcupine Caribou herd that have their calving grounds in the Coastal Plain. The inclusion of the Gwich’in in ANWR development decision-making is not only imperative to upholding the rights of Indigenous peoples; it is also highly likely to bear fruit in the form of effective sustainable development planning, by reducing conflict and enhancing both long-term social and ecological well-being. </w:t>
      </w:r>
      <w:r>
        <w:rPr>
          <w:rFonts w:eastAsia="Calibri"/>
          <w:u w:val="single"/>
        </w:rPr>
        <w:t xml:space="preserve">Indigenous peoples of the Arctic are better equipped to address the changing landscape in Northern regions that are directly affected by climate change and its effects on the land, animals, and people. </w:t>
      </w:r>
      <w:r>
        <w:rPr>
          <w:rFonts w:eastAsia="Calibri"/>
        </w:rPr>
        <w:t xml:space="preserve">As stated by the Director:“Our elders are our scientists. They have hunted and lived off the land far longer than any western researcher.” (HR1146 Statement 2019). Understanding the starkly deviating perspectives between the US government and affected Indigenous peoples will be critical for the develop- ment of effective policies that go well beyond the current call to reduce regulatory obstacles to expanding domestic energy in the ANWR. </w:t>
      </w:r>
      <w:r>
        <w:rPr>
          <w:rFonts w:eastAsia="Calibri"/>
          <w:u w:val="single"/>
        </w:rPr>
        <w:t>Improving relationships with Indigenous peoples will facilitate a stronger and more sustainable future.</w:t>
      </w:r>
    </w:p>
    <w:p w14:paraId="531B4AB9" w14:textId="52FD1773" w:rsidR="00752776" w:rsidRDefault="00752776" w:rsidP="00752776">
      <w:pPr>
        <w:pStyle w:val="Heading3"/>
        <w:rPr>
          <w:rFonts w:eastAsia="Calibri"/>
        </w:rPr>
      </w:pPr>
      <w:bookmarkStart w:id="5" w:name="_20o5hdlfntfu" w:colFirst="0" w:colLast="0"/>
      <w:bookmarkStart w:id="6" w:name="_ftyhmuot7fll" w:colFirst="0" w:colLast="0"/>
      <w:bookmarkEnd w:id="5"/>
      <w:bookmarkEnd w:id="6"/>
      <w:r>
        <w:rPr>
          <w:rFonts w:eastAsia="Calibri"/>
        </w:rPr>
        <w:lastRenderedPageBreak/>
        <w:t>Advantage 1</w:t>
      </w:r>
    </w:p>
    <w:p w14:paraId="794EF19B" w14:textId="1C00C7BC" w:rsidR="00752776" w:rsidRPr="001E0E32" w:rsidRDefault="00752776" w:rsidP="001E0E32">
      <w:pPr>
        <w:pStyle w:val="Heading4"/>
      </w:pPr>
      <w:r w:rsidRPr="001E0E32">
        <w:t>Arctic biodiversity is increasingly imperiled as resource extraction and development projects increase alongside the effects of climate change – now is a crucial moment to turn the tide</w:t>
      </w:r>
    </w:p>
    <w:p w14:paraId="191C06C6" w14:textId="77777777" w:rsidR="00884C08" w:rsidRDefault="00884C08" w:rsidP="00884C08">
      <w:pPr>
        <w:spacing w:before="40" w:line="303" w:lineRule="auto"/>
        <w:rPr>
          <w:rFonts w:eastAsia="Calibri"/>
        </w:rPr>
      </w:pPr>
      <w:r>
        <w:rPr>
          <w:rFonts w:eastAsia="Calibri"/>
          <w:b/>
          <w:bCs/>
          <w:sz w:val="26"/>
          <w:szCs w:val="26"/>
          <w:u w:val="single"/>
        </w:rPr>
        <w:t>Shahbazi 24</w:t>
      </w:r>
      <w:r>
        <w:rPr>
          <w:rFonts w:eastAsia="Calibri"/>
          <w:b/>
          <w:bCs/>
          <w:u w:val="single"/>
        </w:rPr>
        <w:t xml:space="preserve"> </w:t>
      </w:r>
      <w:r>
        <w:rPr>
          <w:rFonts w:eastAsia="Calibri"/>
        </w:rPr>
        <w:t>[Alex Shahbazi; Senior Manager, Arctic Programs at Ocean Conservancy ; 7-15-25;Turning the Tide for Imperiled Arctic Biodiversity; Wilson Center ; https://www.wilsoncenter.org/blog-post/no-33-turning-tide-imperiled-arctic-biodiversity;</w:t>
      </w:r>
    </w:p>
    <w:p w14:paraId="633C9040" w14:textId="77777777" w:rsidR="00884C08" w:rsidRDefault="00884C08" w:rsidP="00884C08">
      <w:pPr>
        <w:spacing w:after="120" w:line="240" w:lineRule="auto"/>
        <w:rPr>
          <w:rFonts w:eastAsia="Calibri"/>
        </w:rPr>
      </w:pPr>
      <w:r>
        <w:rPr>
          <w:rFonts w:eastAsia="Calibri"/>
        </w:rPr>
        <w:t>7-3-2025; JC]</w:t>
      </w:r>
    </w:p>
    <w:p w14:paraId="2576DB8A" w14:textId="77777777" w:rsidR="00884C08" w:rsidRDefault="00884C08" w:rsidP="00884C08">
      <w:pPr>
        <w:spacing w:line="240" w:lineRule="auto"/>
        <w:rPr>
          <w:rFonts w:eastAsia="Calibri"/>
          <w:sz w:val="24"/>
          <w:szCs w:val="24"/>
        </w:rPr>
      </w:pPr>
      <w:r>
        <w:rPr>
          <w:rFonts w:eastAsia="Calibri"/>
        </w:rPr>
        <w:t xml:space="preserve">The Arctic brims with biodiversity: the variety of living things. </w:t>
      </w:r>
      <w:r>
        <w:rPr>
          <w:rFonts w:eastAsia="Calibri"/>
          <w:sz w:val="24"/>
          <w:szCs w:val="24"/>
          <w:highlight w:val="yellow"/>
          <w:u w:val="single"/>
        </w:rPr>
        <w:t>Over 21,000 species</w:t>
      </w:r>
      <w:r>
        <w:rPr>
          <w:rFonts w:eastAsia="Calibri"/>
          <w:sz w:val="24"/>
          <w:szCs w:val="24"/>
        </w:rPr>
        <w:t xml:space="preserve"> </w:t>
      </w:r>
      <w:r>
        <w:rPr>
          <w:rFonts w:eastAsia="Calibri"/>
          <w:sz w:val="24"/>
          <w:szCs w:val="24"/>
          <w:u w:val="single"/>
        </w:rPr>
        <w:t>are</w:t>
      </w:r>
      <w:r>
        <w:rPr>
          <w:rFonts w:eastAsia="Calibri"/>
          <w:sz w:val="24"/>
          <w:szCs w:val="24"/>
        </w:rPr>
        <w:t xml:space="preserve"> </w:t>
      </w:r>
      <w:r>
        <w:rPr>
          <w:rFonts w:eastAsia="Calibri"/>
          <w:sz w:val="24"/>
          <w:szCs w:val="24"/>
          <w:highlight w:val="yellow"/>
          <w:u w:val="single"/>
        </w:rPr>
        <w:t>Arctic inhabitants</w:t>
      </w:r>
      <w:r>
        <w:rPr>
          <w:rFonts w:eastAsia="Calibri"/>
          <w:sz w:val="24"/>
          <w:szCs w:val="24"/>
          <w:u w:val="single"/>
        </w:rPr>
        <w:t>, including over</w:t>
      </w:r>
      <w:r>
        <w:rPr>
          <w:rFonts w:eastAsia="Calibri"/>
          <w:sz w:val="24"/>
          <w:szCs w:val="24"/>
        </w:rPr>
        <w:t xml:space="preserve"> </w:t>
      </w:r>
      <w:r>
        <w:rPr>
          <w:rFonts w:eastAsia="Calibri"/>
          <w:sz w:val="24"/>
          <w:szCs w:val="24"/>
          <w:u w:val="single"/>
        </w:rPr>
        <w:t>100 species of mammals, nearly 400 species of fish, almost 10,000 invertebrate species, and more than 2,000 species of plants.</w:t>
      </w:r>
      <w:r>
        <w:rPr>
          <w:rFonts w:eastAsia="Calibri"/>
          <w:sz w:val="24"/>
          <w:szCs w:val="24"/>
        </w:rPr>
        <w:t xml:space="preserve"> </w:t>
      </w:r>
      <w:r>
        <w:rPr>
          <w:rFonts w:eastAsia="Calibri"/>
          <w:sz w:val="24"/>
          <w:szCs w:val="24"/>
          <w:highlight w:val="yellow"/>
          <w:u w:val="single"/>
        </w:rPr>
        <w:t>Many</w:t>
      </w:r>
      <w:r>
        <w:rPr>
          <w:rFonts w:eastAsia="Calibri"/>
          <w:sz w:val="24"/>
          <w:szCs w:val="24"/>
        </w:rPr>
        <w:t xml:space="preserve"> </w:t>
      </w:r>
      <w:r>
        <w:rPr>
          <w:rFonts w:eastAsia="Calibri"/>
          <w:sz w:val="24"/>
          <w:szCs w:val="24"/>
          <w:u w:val="single"/>
        </w:rPr>
        <w:t>of these species are</w:t>
      </w:r>
      <w:r>
        <w:rPr>
          <w:rFonts w:eastAsia="Calibri"/>
          <w:sz w:val="24"/>
          <w:szCs w:val="24"/>
        </w:rPr>
        <w:t xml:space="preserve"> </w:t>
      </w:r>
      <w:r>
        <w:rPr>
          <w:rFonts w:eastAsia="Calibri"/>
          <w:sz w:val="24"/>
          <w:szCs w:val="24"/>
          <w:highlight w:val="yellow"/>
          <w:u w:val="single"/>
        </w:rPr>
        <w:t>endemic,</w:t>
      </w:r>
      <w:r>
        <w:rPr>
          <w:rFonts w:eastAsia="Calibri"/>
          <w:sz w:val="24"/>
          <w:szCs w:val="24"/>
        </w:rPr>
        <w:t xml:space="preserve"> </w:t>
      </w:r>
      <w:r>
        <w:rPr>
          <w:rFonts w:eastAsia="Calibri"/>
          <w:sz w:val="24"/>
          <w:szCs w:val="24"/>
          <w:u w:val="single"/>
        </w:rPr>
        <w:t>meaning they occur nowhere else on Earth, with narwhals, musk ox, and polar bears some of the most famous. Many others are only part-time resident</w:t>
      </w:r>
      <w:r>
        <w:rPr>
          <w:rFonts w:eastAsia="Calibri"/>
          <w:sz w:val="24"/>
          <w:szCs w:val="24"/>
        </w:rPr>
        <w:t xml:space="preserve">s. Those part-timers still depend on the seas, coasts, rivers, and lakes of the north. Birds seen in your own backyard might frequent Arctic ecosystems when they aren’t stopping at feeders further south; over 100 migratory bird species over-summer in the High North. Marine species like whales make vast journeys, too, traversing to and from the Arctic along oceanic highways hundreds to thousands of miles long. </w:t>
      </w:r>
      <w:r>
        <w:rPr>
          <w:rFonts w:eastAsia="Calibri"/>
          <w:u w:val="single"/>
        </w:rPr>
        <w:t>Yet</w:t>
      </w:r>
      <w:r>
        <w:rPr>
          <w:rFonts w:eastAsia="Calibri"/>
        </w:rPr>
        <w:t xml:space="preserve"> </w:t>
      </w:r>
      <w:r>
        <w:rPr>
          <w:rFonts w:eastAsia="Calibri"/>
          <w:sz w:val="24"/>
          <w:szCs w:val="24"/>
          <w:highlight w:val="yellow"/>
          <w:u w:val="single"/>
        </w:rPr>
        <w:t>biod</w:t>
      </w:r>
      <w:r>
        <w:rPr>
          <w:rFonts w:eastAsia="Calibri"/>
          <w:sz w:val="24"/>
          <w:szCs w:val="24"/>
          <w:u w:val="single"/>
        </w:rPr>
        <w:t>iversity</w:t>
      </w:r>
      <w:r>
        <w:rPr>
          <w:rFonts w:eastAsia="Calibri"/>
          <w:sz w:val="24"/>
          <w:szCs w:val="24"/>
        </w:rPr>
        <w:t xml:space="preserve"> </w:t>
      </w:r>
      <w:r>
        <w:rPr>
          <w:rFonts w:eastAsia="Calibri"/>
          <w:sz w:val="24"/>
          <w:szCs w:val="24"/>
          <w:highlight w:val="yellow"/>
          <w:u w:val="single"/>
        </w:rPr>
        <w:t>in the Far North</w:t>
      </w:r>
      <w:r>
        <w:rPr>
          <w:rFonts w:eastAsia="Calibri"/>
          <w:sz w:val="24"/>
          <w:szCs w:val="24"/>
        </w:rPr>
        <w:t xml:space="preserve"> </w:t>
      </w:r>
      <w:r>
        <w:rPr>
          <w:rFonts w:eastAsia="Calibri"/>
          <w:sz w:val="24"/>
          <w:szCs w:val="24"/>
          <w:u w:val="single"/>
        </w:rPr>
        <w:t>is</w:t>
      </w:r>
      <w:r>
        <w:rPr>
          <w:rFonts w:eastAsia="Calibri"/>
          <w:sz w:val="24"/>
          <w:szCs w:val="24"/>
        </w:rPr>
        <w:t xml:space="preserve"> </w:t>
      </w:r>
      <w:r>
        <w:rPr>
          <w:rFonts w:eastAsia="Calibri"/>
          <w:sz w:val="24"/>
          <w:szCs w:val="24"/>
          <w:highlight w:val="yellow"/>
          <w:u w:val="single"/>
        </w:rPr>
        <w:t>increasingly imperiled</w:t>
      </w:r>
      <w:r>
        <w:rPr>
          <w:rFonts w:eastAsia="Calibri"/>
          <w:sz w:val="24"/>
          <w:szCs w:val="24"/>
          <w:u w:val="single"/>
        </w:rPr>
        <w:t>. As</w:t>
      </w:r>
      <w:r>
        <w:rPr>
          <w:rFonts w:eastAsia="Calibri"/>
          <w:sz w:val="24"/>
          <w:szCs w:val="24"/>
        </w:rPr>
        <w:t xml:space="preserve"> </w:t>
      </w:r>
      <w:r>
        <w:rPr>
          <w:rFonts w:eastAsia="Calibri"/>
          <w:sz w:val="24"/>
          <w:szCs w:val="24"/>
          <w:highlight w:val="yellow"/>
          <w:u w:val="single"/>
        </w:rPr>
        <w:t>carbon emissions</w:t>
      </w:r>
      <w:r>
        <w:rPr>
          <w:rFonts w:eastAsia="Calibri"/>
          <w:sz w:val="24"/>
          <w:szCs w:val="24"/>
        </w:rPr>
        <w:t xml:space="preserve"> </w:t>
      </w:r>
      <w:r>
        <w:rPr>
          <w:rFonts w:eastAsia="Calibri"/>
          <w:sz w:val="24"/>
          <w:szCs w:val="24"/>
          <w:highlight w:val="yellow"/>
          <w:u w:val="single"/>
        </w:rPr>
        <w:t>rise</w:t>
      </w:r>
      <w:r>
        <w:rPr>
          <w:rFonts w:eastAsia="Calibri"/>
          <w:sz w:val="24"/>
          <w:szCs w:val="24"/>
        </w:rPr>
        <w:t xml:space="preserve"> </w:t>
      </w:r>
      <w:r>
        <w:rPr>
          <w:rFonts w:eastAsia="Calibri"/>
          <w:sz w:val="24"/>
          <w:szCs w:val="24"/>
          <w:u w:val="single"/>
        </w:rPr>
        <w:t>and far-northern</w:t>
      </w:r>
      <w:r>
        <w:rPr>
          <w:rFonts w:eastAsia="Calibri"/>
          <w:sz w:val="24"/>
          <w:szCs w:val="24"/>
        </w:rPr>
        <w:t xml:space="preserve"> </w:t>
      </w:r>
      <w:r>
        <w:rPr>
          <w:rFonts w:eastAsia="Calibri"/>
          <w:sz w:val="24"/>
          <w:szCs w:val="24"/>
          <w:highlight w:val="yellow"/>
          <w:u w:val="single"/>
        </w:rPr>
        <w:t>human activities expand</w:t>
      </w:r>
      <w:r>
        <w:rPr>
          <w:rFonts w:eastAsia="Calibri"/>
          <w:sz w:val="24"/>
          <w:szCs w:val="24"/>
          <w:u w:val="single"/>
        </w:rPr>
        <w:t>, the fabric of Arctic</w:t>
      </w:r>
      <w:r>
        <w:rPr>
          <w:rFonts w:eastAsia="Calibri"/>
          <w:sz w:val="24"/>
          <w:szCs w:val="24"/>
        </w:rPr>
        <w:t xml:space="preserve"> </w:t>
      </w:r>
      <w:r>
        <w:rPr>
          <w:rFonts w:eastAsia="Calibri"/>
          <w:sz w:val="24"/>
          <w:szCs w:val="24"/>
          <w:highlight w:val="yellow"/>
          <w:u w:val="single"/>
        </w:rPr>
        <w:t>ecosystems</w:t>
      </w:r>
      <w:r>
        <w:rPr>
          <w:rFonts w:eastAsia="Calibri"/>
          <w:sz w:val="24"/>
          <w:szCs w:val="24"/>
        </w:rPr>
        <w:t xml:space="preserve"> </w:t>
      </w:r>
      <w:r>
        <w:rPr>
          <w:rFonts w:eastAsia="Calibri"/>
          <w:sz w:val="24"/>
          <w:szCs w:val="24"/>
          <w:u w:val="single"/>
        </w:rPr>
        <w:t>and the communities that rely on them continue to</w:t>
      </w:r>
      <w:r>
        <w:rPr>
          <w:rFonts w:eastAsia="Calibri"/>
          <w:sz w:val="24"/>
          <w:szCs w:val="24"/>
        </w:rPr>
        <w:t xml:space="preserve"> </w:t>
      </w:r>
      <w:r>
        <w:rPr>
          <w:rFonts w:eastAsia="Calibri"/>
          <w:sz w:val="24"/>
          <w:szCs w:val="24"/>
          <w:highlight w:val="yellow"/>
          <w:u w:val="single"/>
        </w:rPr>
        <w:t xml:space="preserve">unravel. </w:t>
      </w:r>
      <w:r>
        <w:rPr>
          <w:rFonts w:eastAsia="Calibri"/>
        </w:rPr>
        <w:t xml:space="preserve">The Arctic is warming many times faster than the global average as anthropogenic carbon emissions intensify climate change and ravage the Arctic environment. </w:t>
      </w:r>
      <w:r>
        <w:rPr>
          <w:rFonts w:eastAsia="Calibri"/>
          <w:sz w:val="24"/>
          <w:szCs w:val="24"/>
          <w:highlight w:val="yellow"/>
          <w:u w:val="single"/>
        </w:rPr>
        <w:t>Diminishing sea ice eliminates habitat</w:t>
      </w:r>
      <w:r>
        <w:rPr>
          <w:rFonts w:eastAsia="Calibri"/>
          <w:sz w:val="24"/>
          <w:szCs w:val="24"/>
        </w:rPr>
        <w:t xml:space="preserve"> </w:t>
      </w:r>
      <w:r>
        <w:rPr>
          <w:rFonts w:eastAsia="Calibri"/>
          <w:sz w:val="24"/>
          <w:szCs w:val="24"/>
          <w:u w:val="single"/>
        </w:rPr>
        <w:t>for seals and</w:t>
      </w:r>
      <w:r>
        <w:rPr>
          <w:rFonts w:eastAsia="Calibri"/>
          <w:sz w:val="24"/>
          <w:szCs w:val="24"/>
        </w:rPr>
        <w:t xml:space="preserve"> </w:t>
      </w:r>
      <w:r>
        <w:rPr>
          <w:rFonts w:eastAsia="Calibri"/>
          <w:sz w:val="24"/>
          <w:szCs w:val="24"/>
          <w:highlight w:val="yellow"/>
          <w:u w:val="single"/>
        </w:rPr>
        <w:t>feeding opportunities</w:t>
      </w:r>
      <w:r>
        <w:rPr>
          <w:rFonts w:eastAsia="Calibri"/>
          <w:sz w:val="24"/>
          <w:szCs w:val="24"/>
        </w:rPr>
        <w:t xml:space="preserve"> </w:t>
      </w:r>
      <w:r>
        <w:rPr>
          <w:rFonts w:eastAsia="Calibri"/>
          <w:sz w:val="24"/>
          <w:szCs w:val="24"/>
          <w:u w:val="single"/>
        </w:rPr>
        <w:t>for polar bears. Increasing</w:t>
      </w:r>
      <w:r>
        <w:rPr>
          <w:rFonts w:eastAsia="Calibri"/>
          <w:sz w:val="24"/>
          <w:szCs w:val="24"/>
        </w:rPr>
        <w:t xml:space="preserve"> </w:t>
      </w:r>
      <w:r>
        <w:rPr>
          <w:rFonts w:eastAsia="Calibri"/>
          <w:sz w:val="24"/>
          <w:szCs w:val="24"/>
          <w:highlight w:val="yellow"/>
          <w:u w:val="single"/>
        </w:rPr>
        <w:t>rain-on-snow events</w:t>
      </w:r>
      <w:r>
        <w:rPr>
          <w:rFonts w:eastAsia="Calibri"/>
          <w:sz w:val="24"/>
          <w:szCs w:val="24"/>
          <w:u w:val="single"/>
        </w:rPr>
        <w:t>—when rain freezes as a crust on top of existing snowpack—severely inhibit</w:t>
      </w:r>
      <w:r>
        <w:rPr>
          <w:rFonts w:eastAsia="Calibri"/>
          <w:sz w:val="24"/>
          <w:szCs w:val="24"/>
        </w:rPr>
        <w:t xml:space="preserve"> </w:t>
      </w:r>
      <w:r>
        <w:rPr>
          <w:rFonts w:eastAsia="Calibri"/>
          <w:sz w:val="24"/>
          <w:szCs w:val="24"/>
          <w:u w:val="single"/>
        </w:rPr>
        <w:t>ungulates like reindeer, caribou, and muskox from</w:t>
      </w:r>
      <w:r>
        <w:rPr>
          <w:rFonts w:eastAsia="Calibri"/>
          <w:sz w:val="24"/>
          <w:szCs w:val="24"/>
        </w:rPr>
        <w:t xml:space="preserve"> </w:t>
      </w:r>
      <w:r>
        <w:rPr>
          <w:rFonts w:eastAsia="Calibri"/>
          <w:sz w:val="24"/>
          <w:szCs w:val="24"/>
          <w:highlight w:val="yellow"/>
          <w:u w:val="single"/>
        </w:rPr>
        <w:t>finding food</w:t>
      </w:r>
      <w:r>
        <w:rPr>
          <w:rFonts w:eastAsia="Calibri"/>
          <w:sz w:val="24"/>
          <w:szCs w:val="24"/>
          <w:u w:val="single"/>
        </w:rPr>
        <w:t>. Warming</w:t>
      </w:r>
      <w:r>
        <w:rPr>
          <w:rFonts w:eastAsia="Calibri"/>
          <w:sz w:val="24"/>
          <w:szCs w:val="24"/>
        </w:rPr>
        <w:t xml:space="preserve"> </w:t>
      </w:r>
      <w:r>
        <w:rPr>
          <w:rFonts w:eastAsia="Calibri"/>
          <w:sz w:val="24"/>
          <w:szCs w:val="24"/>
          <w:highlight w:val="yellow"/>
          <w:u w:val="single"/>
        </w:rPr>
        <w:t>water temp</w:t>
      </w:r>
      <w:r>
        <w:rPr>
          <w:rFonts w:eastAsia="Calibri"/>
          <w:sz w:val="24"/>
          <w:szCs w:val="24"/>
          <w:u w:val="single"/>
        </w:rPr>
        <w:t>eratures</w:t>
      </w:r>
      <w:r>
        <w:rPr>
          <w:rFonts w:eastAsia="Calibri"/>
          <w:sz w:val="24"/>
          <w:szCs w:val="24"/>
        </w:rPr>
        <w:t xml:space="preserve"> </w:t>
      </w:r>
      <w:r>
        <w:rPr>
          <w:rFonts w:eastAsia="Calibri"/>
          <w:sz w:val="24"/>
          <w:szCs w:val="24"/>
          <w:highlight w:val="yellow"/>
          <w:u w:val="single"/>
        </w:rPr>
        <w:t>harm</w:t>
      </w:r>
      <w:r>
        <w:rPr>
          <w:rFonts w:eastAsia="Calibri"/>
          <w:sz w:val="24"/>
          <w:szCs w:val="24"/>
        </w:rPr>
        <w:t xml:space="preserve"> </w:t>
      </w:r>
      <w:r>
        <w:rPr>
          <w:rFonts w:eastAsia="Calibri"/>
          <w:sz w:val="24"/>
          <w:szCs w:val="24"/>
          <w:u w:val="single"/>
        </w:rPr>
        <w:t>salmon in</w:t>
      </w:r>
      <w:r>
        <w:rPr>
          <w:rFonts w:eastAsia="Calibri"/>
          <w:sz w:val="24"/>
          <w:szCs w:val="24"/>
        </w:rPr>
        <w:t xml:space="preserve"> </w:t>
      </w:r>
      <w:r>
        <w:rPr>
          <w:rFonts w:eastAsia="Calibri"/>
          <w:sz w:val="24"/>
          <w:szCs w:val="24"/>
          <w:highlight w:val="yellow"/>
          <w:u w:val="single"/>
        </w:rPr>
        <w:t>rivers</w:t>
      </w:r>
      <w:r>
        <w:rPr>
          <w:rFonts w:eastAsia="Calibri"/>
          <w:sz w:val="24"/>
          <w:szCs w:val="24"/>
        </w:rPr>
        <w:t xml:space="preserve"> </w:t>
      </w:r>
      <w:r>
        <w:rPr>
          <w:rFonts w:eastAsia="Calibri"/>
          <w:sz w:val="24"/>
          <w:szCs w:val="24"/>
          <w:u w:val="single"/>
        </w:rPr>
        <w:t>like the Yukon and Kuskokwim.</w:t>
      </w:r>
      <w:r>
        <w:rPr>
          <w:rFonts w:eastAsia="Calibri"/>
          <w:sz w:val="24"/>
          <w:szCs w:val="24"/>
        </w:rPr>
        <w:t xml:space="preserve"> </w:t>
      </w:r>
      <w:r>
        <w:rPr>
          <w:rFonts w:eastAsia="Calibri"/>
          <w:sz w:val="24"/>
          <w:szCs w:val="24"/>
          <w:highlight w:val="yellow"/>
          <w:u w:val="single"/>
        </w:rPr>
        <w:t>Thawing permafrost</w:t>
      </w:r>
      <w:r>
        <w:rPr>
          <w:rFonts w:eastAsia="Calibri"/>
          <w:sz w:val="24"/>
          <w:szCs w:val="24"/>
        </w:rPr>
        <w:t xml:space="preserve"> </w:t>
      </w:r>
      <w:r>
        <w:rPr>
          <w:rFonts w:eastAsia="Calibri"/>
          <w:sz w:val="24"/>
          <w:szCs w:val="24"/>
          <w:u w:val="single"/>
        </w:rPr>
        <w:t>impacts wildlife habitats while</w:t>
      </w:r>
      <w:r>
        <w:rPr>
          <w:rFonts w:eastAsia="Calibri"/>
          <w:sz w:val="24"/>
          <w:szCs w:val="24"/>
        </w:rPr>
        <w:t xml:space="preserve"> </w:t>
      </w:r>
      <w:r>
        <w:rPr>
          <w:rFonts w:eastAsia="Calibri"/>
          <w:sz w:val="24"/>
          <w:szCs w:val="24"/>
          <w:highlight w:val="yellow"/>
          <w:u w:val="single"/>
        </w:rPr>
        <w:t>intensifying wildfires</w:t>
      </w:r>
      <w:r>
        <w:rPr>
          <w:rFonts w:eastAsia="Calibri"/>
          <w:sz w:val="24"/>
          <w:szCs w:val="24"/>
        </w:rPr>
        <w:t xml:space="preserve"> </w:t>
      </w:r>
      <w:r>
        <w:rPr>
          <w:rFonts w:eastAsia="Calibri"/>
          <w:sz w:val="24"/>
          <w:szCs w:val="24"/>
          <w:u w:val="single"/>
        </w:rPr>
        <w:t xml:space="preserve">wreck forests and tundra. </w:t>
      </w:r>
      <w:r>
        <w:rPr>
          <w:rFonts w:eastAsia="Calibri"/>
        </w:rPr>
        <w:t xml:space="preserve">As political and economic interest in the Arctic increases, rapidly expanding human activities in the Far North introduce their own perils. </w:t>
      </w:r>
      <w:r>
        <w:rPr>
          <w:rFonts w:eastAsia="Calibri"/>
          <w:sz w:val="24"/>
          <w:szCs w:val="24"/>
          <w:highlight w:val="yellow"/>
          <w:u w:val="single"/>
        </w:rPr>
        <w:t>Resource extraction</w:t>
      </w:r>
      <w:r>
        <w:rPr>
          <w:rFonts w:eastAsia="Calibri"/>
          <w:sz w:val="24"/>
          <w:szCs w:val="24"/>
        </w:rPr>
        <w:t xml:space="preserve"> </w:t>
      </w:r>
      <w:r>
        <w:rPr>
          <w:rFonts w:eastAsia="Calibri"/>
          <w:sz w:val="24"/>
          <w:szCs w:val="24"/>
          <w:u w:val="single"/>
        </w:rPr>
        <w:t>and other commercial development may</w:t>
      </w:r>
      <w:r>
        <w:rPr>
          <w:rFonts w:eastAsia="Calibri"/>
          <w:sz w:val="24"/>
          <w:szCs w:val="24"/>
        </w:rPr>
        <w:t xml:space="preserve"> </w:t>
      </w:r>
      <w:r>
        <w:rPr>
          <w:rFonts w:eastAsia="Calibri"/>
          <w:sz w:val="24"/>
          <w:szCs w:val="24"/>
          <w:highlight w:val="yellow"/>
          <w:u w:val="single"/>
        </w:rPr>
        <w:t>harm ecosystems</w:t>
      </w:r>
      <w:r>
        <w:rPr>
          <w:rFonts w:eastAsia="Calibri"/>
          <w:sz w:val="24"/>
          <w:szCs w:val="24"/>
          <w:u w:val="single"/>
        </w:rPr>
        <w:t>. In the fisheries world, bycatch is weakening salmon populations.</w:t>
      </w:r>
      <w:r>
        <w:rPr>
          <w:rFonts w:eastAsia="Calibri"/>
          <w:sz w:val="24"/>
          <w:szCs w:val="24"/>
        </w:rPr>
        <w:t xml:space="preserve"> </w:t>
      </w:r>
      <w:r>
        <w:rPr>
          <w:rFonts w:eastAsia="Calibri"/>
          <w:sz w:val="24"/>
          <w:szCs w:val="24"/>
          <w:highlight w:val="yellow"/>
          <w:u w:val="single"/>
        </w:rPr>
        <w:t>Arctic shipping threatens species of all kinds</w:t>
      </w:r>
      <w:r>
        <w:rPr>
          <w:rFonts w:eastAsia="Calibri"/>
          <w:sz w:val="24"/>
          <w:szCs w:val="24"/>
        </w:rPr>
        <w:t xml:space="preserve"> </w:t>
      </w:r>
      <w:r>
        <w:rPr>
          <w:rFonts w:eastAsia="Calibri"/>
          <w:sz w:val="24"/>
          <w:szCs w:val="24"/>
          <w:u w:val="single"/>
        </w:rPr>
        <w:t xml:space="preserve">through pollution, underwater noise, vessel strikes, and oil spills. </w:t>
      </w:r>
      <w:r>
        <w:rPr>
          <w:rFonts w:eastAsia="Calibri"/>
        </w:rPr>
        <w:t xml:space="preserve">It’s a multi-pronged problem with numerous consequences. Arctic biodiversity supports economic engines of local, regional, and global importance. Local economies, and especially Indigenous communities, rely heavily on the harvests of fish, marine mammals, berries, birds, and more. Fisheries in Arctic and near-Arctic waters support thousands of jobs and fill grocery stores around the world. Tourism is also growing in the Arctic, with far northern wildlife and landscapes a key draw. </w:t>
      </w:r>
      <w:r>
        <w:rPr>
          <w:rFonts w:eastAsia="Calibri"/>
          <w:u w:val="single"/>
        </w:rPr>
        <w:t>Crucially,</w:t>
      </w:r>
      <w:r>
        <w:rPr>
          <w:rFonts w:eastAsia="Calibri"/>
        </w:rPr>
        <w:t xml:space="preserve"> </w:t>
      </w:r>
      <w:r>
        <w:rPr>
          <w:rFonts w:eastAsia="Calibri"/>
          <w:sz w:val="24"/>
          <w:szCs w:val="24"/>
          <w:highlight w:val="yellow"/>
          <w:u w:val="single"/>
        </w:rPr>
        <w:t>declining Arctic biodiversity</w:t>
      </w:r>
      <w:r>
        <w:rPr>
          <w:rFonts w:eastAsia="Calibri"/>
          <w:sz w:val="24"/>
          <w:szCs w:val="24"/>
        </w:rPr>
        <w:t xml:space="preserve"> </w:t>
      </w:r>
      <w:r>
        <w:rPr>
          <w:rFonts w:eastAsia="Calibri"/>
          <w:sz w:val="24"/>
          <w:szCs w:val="24"/>
          <w:highlight w:val="yellow"/>
          <w:u w:val="single"/>
        </w:rPr>
        <w:t>threatens</w:t>
      </w:r>
      <w:r>
        <w:rPr>
          <w:rFonts w:eastAsia="Calibri"/>
          <w:sz w:val="24"/>
          <w:szCs w:val="24"/>
        </w:rPr>
        <w:t xml:space="preserve"> </w:t>
      </w:r>
      <w:r>
        <w:rPr>
          <w:rFonts w:eastAsia="Calibri"/>
          <w:sz w:val="24"/>
          <w:szCs w:val="24"/>
          <w:u w:val="single"/>
        </w:rPr>
        <w:t>the cultures, livelihoods, and ways of life of</w:t>
      </w:r>
      <w:r>
        <w:rPr>
          <w:rFonts w:eastAsia="Calibri"/>
          <w:sz w:val="24"/>
          <w:szCs w:val="24"/>
        </w:rPr>
        <w:t xml:space="preserve"> </w:t>
      </w:r>
      <w:r>
        <w:rPr>
          <w:rFonts w:eastAsia="Calibri"/>
          <w:sz w:val="24"/>
          <w:szCs w:val="24"/>
          <w:highlight w:val="yellow"/>
          <w:u w:val="single"/>
        </w:rPr>
        <w:t>Arctic residents</w:t>
      </w:r>
      <w:r>
        <w:rPr>
          <w:rFonts w:eastAsia="Calibri"/>
          <w:sz w:val="24"/>
          <w:szCs w:val="24"/>
          <w:u w:val="single"/>
        </w:rPr>
        <w:t>, particularly Indigenous Peoples.</w:t>
      </w:r>
      <w:r>
        <w:rPr>
          <w:rFonts w:eastAsia="Calibri"/>
          <w:sz w:val="24"/>
          <w:szCs w:val="24"/>
        </w:rPr>
        <w:t xml:space="preserve"> </w:t>
      </w:r>
      <w:r>
        <w:rPr>
          <w:rFonts w:eastAsia="Calibri"/>
          <w:sz w:val="24"/>
          <w:szCs w:val="24"/>
          <w:highlight w:val="yellow"/>
          <w:u w:val="single"/>
        </w:rPr>
        <w:t>Indigenous Peoples</w:t>
      </w:r>
      <w:r>
        <w:rPr>
          <w:rFonts w:eastAsia="Calibri"/>
          <w:sz w:val="24"/>
          <w:szCs w:val="24"/>
        </w:rPr>
        <w:t xml:space="preserve"> </w:t>
      </w:r>
      <w:r>
        <w:rPr>
          <w:rFonts w:eastAsia="Calibri"/>
          <w:sz w:val="24"/>
          <w:szCs w:val="24"/>
          <w:u w:val="single"/>
        </w:rPr>
        <w:t>of the High North have been intrinsically</w:t>
      </w:r>
      <w:r>
        <w:rPr>
          <w:rFonts w:eastAsia="Calibri"/>
          <w:sz w:val="24"/>
          <w:szCs w:val="24"/>
        </w:rPr>
        <w:t xml:space="preserve"> </w:t>
      </w:r>
      <w:r>
        <w:rPr>
          <w:rFonts w:eastAsia="Calibri"/>
          <w:sz w:val="24"/>
          <w:szCs w:val="24"/>
          <w:highlight w:val="yellow"/>
          <w:u w:val="single"/>
        </w:rPr>
        <w:t>tied to Arctic biod</w:t>
      </w:r>
      <w:r>
        <w:rPr>
          <w:rFonts w:eastAsia="Calibri"/>
          <w:sz w:val="24"/>
          <w:szCs w:val="24"/>
          <w:u w:val="single"/>
        </w:rPr>
        <w:t>iversity for at least several</w:t>
      </w:r>
      <w:r>
        <w:rPr>
          <w:rFonts w:eastAsia="Calibri"/>
          <w:sz w:val="24"/>
          <w:szCs w:val="24"/>
        </w:rPr>
        <w:t xml:space="preserve"> </w:t>
      </w:r>
      <w:r>
        <w:rPr>
          <w:rFonts w:eastAsia="Calibri"/>
          <w:sz w:val="24"/>
          <w:szCs w:val="24"/>
          <w:highlight w:val="yellow"/>
          <w:u w:val="single"/>
        </w:rPr>
        <w:t>thousand years</w:t>
      </w:r>
      <w:r>
        <w:rPr>
          <w:rFonts w:eastAsia="Calibri"/>
          <w:sz w:val="24"/>
          <w:szCs w:val="24"/>
          <w:u w:val="single"/>
        </w:rPr>
        <w:t>, connections which still thrive today. As</w:t>
      </w:r>
      <w:r>
        <w:rPr>
          <w:rFonts w:eastAsia="Calibri"/>
          <w:sz w:val="24"/>
          <w:szCs w:val="24"/>
        </w:rPr>
        <w:t xml:space="preserve"> </w:t>
      </w:r>
      <w:r>
        <w:rPr>
          <w:rFonts w:eastAsia="Calibri"/>
          <w:sz w:val="24"/>
          <w:szCs w:val="24"/>
          <w:highlight w:val="yellow"/>
          <w:u w:val="single"/>
        </w:rPr>
        <w:t>Arctic biodiversity dwindles</w:t>
      </w:r>
      <w:r>
        <w:rPr>
          <w:rFonts w:eastAsia="Calibri"/>
          <w:sz w:val="24"/>
          <w:szCs w:val="24"/>
        </w:rPr>
        <w:t xml:space="preserve"> </w:t>
      </w:r>
      <w:r>
        <w:rPr>
          <w:rFonts w:eastAsia="Calibri"/>
          <w:sz w:val="24"/>
          <w:szCs w:val="24"/>
          <w:u w:val="single"/>
        </w:rPr>
        <w:t>and changes, however, these</w:t>
      </w:r>
      <w:r>
        <w:rPr>
          <w:rFonts w:eastAsia="Calibri"/>
          <w:sz w:val="24"/>
          <w:szCs w:val="24"/>
        </w:rPr>
        <w:t xml:space="preserve"> </w:t>
      </w:r>
      <w:r>
        <w:rPr>
          <w:rFonts w:eastAsia="Calibri"/>
          <w:sz w:val="24"/>
          <w:szCs w:val="24"/>
          <w:highlight w:val="yellow"/>
          <w:u w:val="single"/>
        </w:rPr>
        <w:t>connections are endangered</w:t>
      </w:r>
      <w:r>
        <w:rPr>
          <w:rFonts w:eastAsia="Calibri"/>
          <w:sz w:val="24"/>
          <w:szCs w:val="24"/>
        </w:rPr>
        <w:t xml:space="preserve">. Arctic Indigenous People are not driving these changes despite being those whose way of life are most at risk. </w:t>
      </w:r>
    </w:p>
    <w:p w14:paraId="5BD11360" w14:textId="77777777" w:rsidR="00884C08" w:rsidRDefault="00884C08" w:rsidP="001E0E32">
      <w:pPr>
        <w:pStyle w:val="Heading4"/>
        <w:rPr>
          <w:rFonts w:eastAsia="Calibri"/>
        </w:rPr>
      </w:pPr>
      <w:bookmarkStart w:id="7" w:name="_x6tpqpjbwh4k" w:colFirst="0" w:colLast="0"/>
      <w:bookmarkEnd w:id="7"/>
      <w:r>
        <w:rPr>
          <w:rFonts w:eastAsia="Calibri"/>
        </w:rPr>
        <w:t>Specifically, Alaska is key – but federal land management puts Alaska’s wilderness increasingly at risk – we need Indigenous led, community based solutions to heal and safeguard biodiversity as an irreplaceable global good and is the basis for Indigenous well-being in the region.</w:t>
      </w:r>
    </w:p>
    <w:p w14:paraId="7EE12655" w14:textId="77777777" w:rsidR="00884C08" w:rsidRDefault="00884C08" w:rsidP="00884C08">
      <w:pPr>
        <w:spacing w:line="240" w:lineRule="auto"/>
        <w:rPr>
          <w:rFonts w:eastAsia="Calibri"/>
        </w:rPr>
      </w:pPr>
      <w:r>
        <w:rPr>
          <w:rFonts w:eastAsia="Calibri"/>
          <w:b/>
          <w:bCs/>
        </w:rPr>
        <w:t>Vynne et al 21</w:t>
      </w:r>
      <w:r>
        <w:rPr>
          <w:rFonts w:eastAsia="Calibri"/>
        </w:rPr>
        <w:t xml:space="preserve"> [Vynne, Carly, Erin Dovichin, Nancy Fresco, Natalie Dawson, Anup Joshi, Beverly E. Law, Ken Lertzman, Scott Rupp, Fiona Schmiegelow, and E. Jamie Trammell. "The importance of Alaska for </w:t>
      </w:r>
      <w:r>
        <w:rPr>
          <w:rFonts w:eastAsia="Calibri"/>
        </w:rPr>
        <w:lastRenderedPageBreak/>
        <w:t>climate stabilization, resilience, and biodiversity conservation." Frontiers in Forests and Global Change 4 (2021): 701277.]</w:t>
      </w:r>
    </w:p>
    <w:p w14:paraId="1E8890A1" w14:textId="77777777" w:rsidR="00884C08" w:rsidRDefault="00884C08" w:rsidP="00884C08">
      <w:pPr>
        <w:spacing w:line="240" w:lineRule="auto"/>
        <w:rPr>
          <w:rFonts w:eastAsia="Calibri"/>
        </w:rPr>
      </w:pPr>
    </w:p>
    <w:p w14:paraId="78212CCD" w14:textId="77777777" w:rsidR="00884C08" w:rsidRDefault="00884C08" w:rsidP="00884C08">
      <w:pPr>
        <w:spacing w:line="256" w:lineRule="auto"/>
        <w:rPr>
          <w:rFonts w:eastAsia="Calibri"/>
          <w:sz w:val="16"/>
          <w:szCs w:val="16"/>
        </w:rPr>
      </w:pPr>
      <w:r>
        <w:rPr>
          <w:rFonts w:eastAsia="Calibri"/>
          <w:u w:val="single"/>
        </w:rPr>
        <w:t xml:space="preserve">The sheer size of Alaska and proportion of intact systems, much of which is public land, makes </w:t>
      </w:r>
      <w:r>
        <w:rPr>
          <w:rFonts w:eastAsia="Calibri"/>
          <w:highlight w:val="yellow"/>
          <w:u w:val="single"/>
        </w:rPr>
        <w:t>Alaska</w:t>
      </w:r>
      <w:r>
        <w:rPr>
          <w:rFonts w:eastAsia="Calibri"/>
          <w:u w:val="single"/>
        </w:rPr>
        <w:t xml:space="preserve"> a singularly </w:t>
      </w:r>
      <w:r>
        <w:rPr>
          <w:rFonts w:eastAsia="Calibri"/>
          <w:highlight w:val="yellow"/>
          <w:u w:val="single"/>
        </w:rPr>
        <w:t>important</w:t>
      </w:r>
      <w:r>
        <w:rPr>
          <w:rFonts w:eastAsia="Calibri"/>
          <w:u w:val="single"/>
        </w:rPr>
        <w:t xml:space="preserve"> and opportune place</w:t>
      </w:r>
      <w:r>
        <w:rPr>
          <w:rFonts w:eastAsia="Calibri"/>
          <w:highlight w:val="yellow"/>
          <w:u w:val="single"/>
        </w:rPr>
        <w:t xml:space="preserve"> for </w:t>
      </w:r>
      <w:r>
        <w:rPr>
          <w:rFonts w:eastAsia="Calibri"/>
          <w:u w:val="single"/>
        </w:rPr>
        <w:t xml:space="preserve">the </w:t>
      </w:r>
      <w:r>
        <w:rPr>
          <w:rFonts w:eastAsia="Calibri"/>
          <w:highlight w:val="yellow"/>
          <w:u w:val="single"/>
        </w:rPr>
        <w:t xml:space="preserve">United States to consider natural climate solutions </w:t>
      </w:r>
      <w:r>
        <w:rPr>
          <w:rFonts w:eastAsia="Calibri"/>
          <w:u w:val="single"/>
        </w:rPr>
        <w:t>within its own borders. Approximately 60% (900,000 km2 of 1.5 M km2) of Alaska’s terrestrial surface area is federal land</w:t>
      </w:r>
      <w:r>
        <w:rPr>
          <w:rFonts w:eastAsia="Calibri"/>
        </w:rPr>
        <w:t xml:space="preserve"> </w:t>
      </w:r>
      <w:r>
        <w:rPr>
          <w:rFonts w:eastAsia="Calibri"/>
          <w:sz w:val="16"/>
          <w:szCs w:val="16"/>
        </w:rPr>
        <w:t>(Figure 1). Nearly 2/3 of this is within an IUCN protected category I-VI, with management ranging from protections for wildlife and recreational values [e.g., Fish and Wildlife Service (FWS) Refuges, National Park Service (NPS)], to managing lands for some oil and gas, mineral, and timber development [e.g., United States Forest Service (USFS), Bureau of Land Management (BLM)]. The State of Alaska manages another 100 million acres (404,685 km2), an area the size of the State of California, for an equally wide range of purposes. Together, 88% of Alaska is managed either by the federal or state governmen</w:t>
      </w:r>
      <w:r>
        <w:rPr>
          <w:rFonts w:eastAsia="Calibri"/>
          <w:sz w:val="16"/>
          <w:szCs w:val="16"/>
          <w:u w:val="single"/>
        </w:rPr>
        <w:t>t.</w:t>
      </w:r>
      <w:r>
        <w:rPr>
          <w:rFonts w:eastAsia="Calibri"/>
          <w:u w:val="single"/>
        </w:rPr>
        <w:t xml:space="preserve"> No United States state has a larger amount of public lands nor the combined intactness, carbon storage, and native biodiversity importance of Alaska</w:t>
      </w:r>
      <w:r>
        <w:rPr>
          <w:rFonts w:eastAsia="Calibri"/>
        </w:rPr>
        <w:t>.</w:t>
      </w:r>
      <w:r>
        <w:rPr>
          <w:rFonts w:eastAsia="Calibri"/>
          <w:sz w:val="16"/>
          <w:szCs w:val="16"/>
        </w:rPr>
        <w:t xml:space="preserve"> As noted, ANCSA, enacted in 1971, transferred 44 million acres (178,062 km2) of land (nearly 12% of the State) to newly created Alaska Native regional and village corporations. These lands are managed for the benefit of the corporations’ Alaska Native shareholders. In addition, the Alaska National Interest Lands Conservation Act (ANILCA), passed in 1980, provided varying protections to 157 million acres of land set aside as National Parks, National Forests, and other conservation areas. It also established </w:t>
      </w:r>
      <w:r>
        <w:rPr>
          <w:rFonts w:eastAsia="Calibri"/>
          <w:u w:val="single"/>
        </w:rPr>
        <w:t>subsistence priority in hunting, fishing, and gathering activities for rural residents,</w:t>
      </w:r>
      <w:r>
        <w:rPr>
          <w:rFonts w:eastAsia="Calibri"/>
          <w:highlight w:val="yellow"/>
          <w:u w:val="single"/>
        </w:rPr>
        <w:t xml:space="preserve"> Alaska Native </w:t>
      </w:r>
      <w:r>
        <w:rPr>
          <w:rFonts w:eastAsia="Calibri"/>
          <w:u w:val="single"/>
        </w:rPr>
        <w:t>or otherwise,</w:t>
      </w:r>
      <w:r>
        <w:rPr>
          <w:rFonts w:eastAsia="Calibri"/>
          <w:highlight w:val="yellow"/>
          <w:u w:val="single"/>
        </w:rPr>
        <w:t xml:space="preserve"> stating</w:t>
      </w:r>
      <w:r>
        <w:rPr>
          <w:rFonts w:eastAsia="Calibri"/>
          <w:u w:val="single"/>
        </w:rPr>
        <w:t xml:space="preserve"> that, “</w:t>
      </w:r>
      <w:r>
        <w:rPr>
          <w:rFonts w:eastAsia="Calibri"/>
          <w:highlight w:val="yellow"/>
          <w:u w:val="single"/>
        </w:rPr>
        <w:t>the continuation of</w:t>
      </w:r>
      <w:r>
        <w:rPr>
          <w:rFonts w:eastAsia="Calibri"/>
          <w:u w:val="single"/>
        </w:rPr>
        <w:t xml:space="preserve"> the opportunity for</w:t>
      </w:r>
      <w:r>
        <w:rPr>
          <w:rFonts w:eastAsia="Calibri"/>
          <w:highlight w:val="yellow"/>
          <w:u w:val="single"/>
        </w:rPr>
        <w:t xml:space="preserve"> subsistence is essential to Native physical, economic, traditional, and cultural existence.” </w:t>
      </w:r>
      <w:r>
        <w:rPr>
          <w:rFonts w:eastAsia="Calibri"/>
          <w:u w:val="single"/>
        </w:rPr>
        <w:t xml:space="preserve">Roughly </w:t>
      </w:r>
      <w:r>
        <w:rPr>
          <w:rFonts w:eastAsia="Calibri"/>
          <w:highlight w:val="yellow"/>
          <w:u w:val="single"/>
        </w:rPr>
        <w:t>80%</w:t>
      </w:r>
      <w:r>
        <w:rPr>
          <w:rFonts w:eastAsia="Calibri"/>
          <w:u w:val="single"/>
        </w:rPr>
        <w:t xml:space="preserve"> of the population of </w:t>
      </w:r>
      <w:r>
        <w:rPr>
          <w:rFonts w:eastAsia="Calibri"/>
          <w:highlight w:val="yellow"/>
          <w:u w:val="single"/>
        </w:rPr>
        <w:t>remote</w:t>
      </w:r>
      <w:r>
        <w:rPr>
          <w:rFonts w:eastAsia="Calibri"/>
          <w:u w:val="single"/>
        </w:rPr>
        <w:t xml:space="preserve"> rural </w:t>
      </w:r>
      <w:r>
        <w:rPr>
          <w:rFonts w:eastAsia="Calibri"/>
          <w:highlight w:val="yellow"/>
          <w:u w:val="single"/>
        </w:rPr>
        <w:t>Alaska residents are Indigenous People</w:t>
      </w:r>
      <w:r>
        <w:rPr>
          <w:rFonts w:eastAsia="Calibri"/>
          <w:u w:val="single"/>
        </w:rPr>
        <w:t xml:space="preserve">7, and </w:t>
      </w:r>
      <w:r>
        <w:rPr>
          <w:rFonts w:eastAsia="Calibri"/>
          <w:highlight w:val="yellow"/>
          <w:u w:val="single"/>
        </w:rPr>
        <w:t>federal</w:t>
      </w:r>
      <w:r>
        <w:rPr>
          <w:rFonts w:eastAsia="Calibri"/>
          <w:u w:val="single"/>
        </w:rPr>
        <w:t xml:space="preserve"> and state public </w:t>
      </w:r>
      <w:r>
        <w:rPr>
          <w:rFonts w:eastAsia="Calibri"/>
          <w:highlight w:val="yellow"/>
          <w:u w:val="single"/>
        </w:rPr>
        <w:t xml:space="preserve">lands comprise </w:t>
      </w:r>
      <w:r>
        <w:rPr>
          <w:rFonts w:eastAsia="Calibri"/>
          <w:u w:val="single"/>
        </w:rPr>
        <w:t xml:space="preserve">much of the </w:t>
      </w:r>
      <w:r>
        <w:rPr>
          <w:rFonts w:eastAsia="Calibri"/>
          <w:highlight w:val="yellow"/>
          <w:u w:val="single"/>
        </w:rPr>
        <w:t>traditional territory of Alaska’s 229 federally recognized tribes</w:t>
      </w:r>
      <w:r>
        <w:rPr>
          <w:rFonts w:eastAsia="Calibri"/>
          <w:u w:val="single"/>
        </w:rPr>
        <w:t>—creating an unusual opportunity for a small number of landowners and sovereign tribes to work together on coordinated land management strategies across large regions of the state</w:t>
      </w:r>
      <w:r>
        <w:rPr>
          <w:rFonts w:eastAsia="Calibri"/>
          <w:sz w:val="16"/>
          <w:szCs w:val="16"/>
        </w:rPr>
        <w:t>. Only about 1% of Alaska is in general private land ownership. Many intact systems in Alaska face a variety of proposed industrial land uses that either increase carbon emissions through the extraction and production of fossil fuels or diminish carbon storage values and system intactness through degradation or conversion of natural areas. Among these are expanded fossil fuel development in the Brooks Foothills and Beaufort Coastal Plain (Figure 6), clear-cut old-growth logging in forest systems in southeast Alaska, and large-scale, fossil-fuel based mining operations and associated infrastructure in otherwise intact regions such as the Bristol Bay watershed.</w:t>
      </w:r>
      <w:r>
        <w:rPr>
          <w:rFonts w:eastAsia="Calibri"/>
        </w:rPr>
        <w:t xml:space="preserve"> </w:t>
      </w:r>
      <w:r>
        <w:rPr>
          <w:rFonts w:eastAsia="Calibri"/>
          <w:u w:val="single"/>
        </w:rPr>
        <w:t>Land conversion from forest to agriculture in Alaska’s boreal region would be likely to result in net carbon release (Grünzweig et al., 2004).</w:t>
      </w:r>
      <w:r>
        <w:rPr>
          <w:rFonts w:eastAsia="Calibri"/>
          <w:sz w:val="16"/>
          <w:szCs w:val="16"/>
        </w:rPr>
        <w:t xml:space="preserve"> In Canada, agricultural conversion is the greatest source of historical loss of boreal forests, and remains an important driver of deforestation in some boreal zones (Hobson et al., 2002). Such conversion is not however, occurring at anything approaching large scales in Alaska (Figure 3). RECOMMENDATIONS</w:t>
      </w:r>
      <w:r>
        <w:rPr>
          <w:rFonts w:eastAsia="Calibri"/>
        </w:rPr>
        <w:t xml:space="preserve"> </w:t>
      </w:r>
      <w:r>
        <w:rPr>
          <w:rFonts w:eastAsia="Calibri"/>
          <w:u w:val="single"/>
        </w:rPr>
        <w:t xml:space="preserve">While the tundra, forests, and other </w:t>
      </w:r>
      <w:r>
        <w:rPr>
          <w:rFonts w:eastAsia="Calibri"/>
          <w:highlight w:val="yellow"/>
          <w:u w:val="single"/>
        </w:rPr>
        <w:t xml:space="preserve">ecosystems of Alaska all face </w:t>
      </w:r>
      <w:r>
        <w:rPr>
          <w:rFonts w:eastAsia="Calibri"/>
          <w:u w:val="single"/>
        </w:rPr>
        <w:t xml:space="preserve">some degree of </w:t>
      </w:r>
      <w:r>
        <w:rPr>
          <w:rFonts w:eastAsia="Calibri"/>
          <w:highlight w:val="yellow"/>
          <w:u w:val="single"/>
        </w:rPr>
        <w:t>risk</w:t>
      </w:r>
      <w:r>
        <w:rPr>
          <w:rFonts w:eastAsia="Calibri"/>
          <w:u w:val="single"/>
        </w:rPr>
        <w:t>, there is potential for these to be managed through local land-use decisions and actions</w:t>
      </w:r>
      <w:r>
        <w:rPr>
          <w:rFonts w:eastAsia="Calibri"/>
          <w:sz w:val="16"/>
          <w:szCs w:val="16"/>
        </w:rPr>
        <w:t xml:space="preserve"> (Grünzweig et al., 2004; Goldstein et al., 2020). Managing for climate stabilization and adaptation benefits in Alaska may provide an opportunity to scale land conservation and augment management on the rapid timescale that is necessary to meet global climate and biodiversity objectives (Dinerstein et al., 2019). </w:t>
      </w:r>
      <w:r>
        <w:rPr>
          <w:rFonts w:eastAsia="Calibri"/>
          <w:highlight w:val="yellow"/>
          <w:u w:val="single"/>
        </w:rPr>
        <w:t>Land management</w:t>
      </w:r>
      <w:r>
        <w:rPr>
          <w:rFonts w:eastAsia="Calibri"/>
          <w:u w:val="single"/>
        </w:rPr>
        <w:t xml:space="preserve"> has a </w:t>
      </w:r>
      <w:r>
        <w:rPr>
          <w:rFonts w:eastAsia="Calibri"/>
          <w:highlight w:val="yellow"/>
          <w:u w:val="single"/>
        </w:rPr>
        <w:t>significant</w:t>
      </w:r>
      <w:r>
        <w:rPr>
          <w:rFonts w:eastAsia="Calibri"/>
          <w:u w:val="single"/>
        </w:rPr>
        <w:t xml:space="preserve"> role to play </w:t>
      </w:r>
      <w:r>
        <w:rPr>
          <w:rFonts w:eastAsia="Calibri"/>
          <w:highlight w:val="yellow"/>
          <w:u w:val="single"/>
        </w:rPr>
        <w:t>in how Alaska’s systems, species, and people</w:t>
      </w:r>
      <w:r>
        <w:rPr>
          <w:rFonts w:eastAsia="Calibri"/>
          <w:u w:val="single"/>
        </w:rPr>
        <w:t xml:space="preserve"> contribute to climate stabilization and </w:t>
      </w:r>
      <w:r>
        <w:rPr>
          <w:rFonts w:eastAsia="Calibri"/>
          <w:highlight w:val="yellow"/>
          <w:u w:val="single"/>
        </w:rPr>
        <w:t>adapt to climate change</w:t>
      </w:r>
      <w:r>
        <w:rPr>
          <w:rFonts w:eastAsia="Calibri"/>
          <w:u w:val="single"/>
        </w:rPr>
        <w:t>. For example, forest carbon storage potentially could triple with management focused on limiting harvest in the high biomass forests of Southeast Alaska (Zhu and McGuire, 2016)</w:t>
      </w:r>
      <w:r>
        <w:rPr>
          <w:rFonts w:eastAsia="Calibri"/>
        </w:rPr>
        <w:t>.</w:t>
      </w:r>
      <w:r>
        <w:rPr>
          <w:rFonts w:eastAsia="Calibri"/>
          <w:sz w:val="16"/>
          <w:szCs w:val="16"/>
        </w:rPr>
        <w:t xml:space="preserve"> Further, processes internal to an ecosystem can lead to a decoupling from regional temperature and moisture regimes, and relatively undisturbed systems can confer resistance to climate change (Stralberg et al., 2020). Management of fire in Alaska has also been suggested as a potentially important climate mitigation strategy, as well as being important to directly protect human communities (Phillips et al., 2019). New evidence that shifting species dominance following severe burns in boreal forests is important as this has the potential to reduce likelihood of future fires, increase the tenure of this carbon on the landscape, and provide negative or stabilizing feedback to climate warming (Mack et al., 2021). The singular opportunity that Alaska’s relatively intact systems present, particularly the irreplaceability of its accumulated carbon stores, merits consideration of an approach to the management of Alaska’s public lands that prioritizes climate stabilization, adaptation, and resilience. Such an approach might include a wide range of management actions</w:t>
      </w:r>
      <w:r>
        <w:rPr>
          <w:rFonts w:eastAsia="Calibri"/>
        </w:rPr>
        <w:t>.</w:t>
      </w:r>
      <w:r>
        <w:rPr>
          <w:rFonts w:eastAsia="Calibri"/>
          <w:u w:val="single"/>
        </w:rPr>
        <w:t xml:space="preserve"> The identification and designation of areas important for climate stabilization and resilience could provide an opportunity to increase the use of nature-based approaches to mitigating climate change. </w:t>
      </w:r>
      <w:r>
        <w:rPr>
          <w:rFonts w:eastAsia="Calibri"/>
          <w:sz w:val="16"/>
          <w:szCs w:val="16"/>
        </w:rPr>
        <w:t>These designations could include large intact areas and areas that are essential carbon storehouses, particularly vital in climate mitigation, and which could be managed to maintain and enhance conditions (e.g., vegetative cover, soil condition) for carbon storage and sequestration.</w:t>
      </w:r>
      <w:r>
        <w:rPr>
          <w:rFonts w:eastAsia="Calibri"/>
          <w:sz w:val="16"/>
          <w:szCs w:val="16"/>
          <w:u w:val="single"/>
        </w:rPr>
        <w:t xml:space="preserve"> </w:t>
      </w:r>
      <w:r>
        <w:rPr>
          <w:rFonts w:eastAsia="Calibri"/>
          <w:highlight w:val="yellow"/>
          <w:u w:val="single"/>
        </w:rPr>
        <w:t>Co-developing ideas</w:t>
      </w:r>
      <w:r>
        <w:rPr>
          <w:rFonts w:eastAsia="Calibri"/>
          <w:u w:val="single"/>
        </w:rPr>
        <w:t xml:space="preserve"> and means to manage these areas </w:t>
      </w:r>
      <w:r>
        <w:rPr>
          <w:rFonts w:eastAsia="Calibri"/>
          <w:highlight w:val="yellow"/>
          <w:u w:val="single"/>
        </w:rPr>
        <w:t>with local people</w:t>
      </w:r>
      <w:r>
        <w:rPr>
          <w:rFonts w:eastAsia="Calibri"/>
          <w:u w:val="single"/>
        </w:rPr>
        <w:t xml:space="preserve">, particularly federally recognized tribes, could also </w:t>
      </w:r>
      <w:r>
        <w:rPr>
          <w:rFonts w:eastAsia="Calibri"/>
          <w:highlight w:val="yellow"/>
          <w:u w:val="single"/>
        </w:rPr>
        <w:t>increase stewardship</w:t>
      </w:r>
      <w:r>
        <w:rPr>
          <w:rFonts w:eastAsia="Calibri"/>
          <w:u w:val="single"/>
        </w:rPr>
        <w:t xml:space="preserve"> and the eﬃcacy of these areas in meeting not only conservation and climate objectives but also local economic, social, and cultural concerns. Though additional IUCN-defined protected areas (categories I-VI) may be warranted in specific places, climate stabilization designations may simply shape management plans in a way that maximizes carbon storage and biodiversity conservation. Achieving expanded conservation objectives may </w:t>
      </w:r>
      <w:r>
        <w:rPr>
          <w:rFonts w:eastAsia="Calibri"/>
          <w:highlight w:val="yellow"/>
          <w:u w:val="single"/>
        </w:rPr>
        <w:t>also</w:t>
      </w:r>
      <w:r>
        <w:rPr>
          <w:rFonts w:eastAsia="Calibri"/>
          <w:u w:val="single"/>
        </w:rPr>
        <w:t xml:space="preserve"> be </w:t>
      </w:r>
      <w:r>
        <w:rPr>
          <w:rFonts w:eastAsia="Calibri"/>
          <w:highlight w:val="yellow"/>
          <w:u w:val="single"/>
        </w:rPr>
        <w:t>achieved</w:t>
      </w:r>
      <w:r>
        <w:rPr>
          <w:rFonts w:eastAsia="Calibri"/>
          <w:u w:val="single"/>
        </w:rPr>
        <w:t xml:space="preserve"> </w:t>
      </w:r>
      <w:r>
        <w:rPr>
          <w:rFonts w:eastAsia="Calibri"/>
          <w:highlight w:val="yellow"/>
          <w:u w:val="single"/>
        </w:rPr>
        <w:t>through</w:t>
      </w:r>
      <w:r>
        <w:rPr>
          <w:rFonts w:eastAsia="Calibri"/>
          <w:u w:val="single"/>
        </w:rPr>
        <w:t xml:space="preserve"> other eﬀective area-based conservation measures (OECMs) and Indigenous and Community Conserved Areas </w:t>
      </w:r>
      <w:r>
        <w:rPr>
          <w:rFonts w:eastAsia="Calibri"/>
          <w:highlight w:val="yellow"/>
          <w:u w:val="single"/>
        </w:rPr>
        <w:t>(ICCAs</w:t>
      </w:r>
      <w:r>
        <w:rPr>
          <w:rFonts w:eastAsia="Calibri"/>
          <w:u w:val="single"/>
        </w:rPr>
        <w:t>; Wells et al., 2020).</w:t>
      </w:r>
      <w:r>
        <w:rPr>
          <w:rFonts w:eastAsia="Calibri"/>
          <w:sz w:val="16"/>
          <w:szCs w:val="16"/>
        </w:rPr>
        <w:t xml:space="preserve"> Long-term or indefinite- termed withdrawal of areas of public land and waters from specific activities that directly contribute to </w:t>
      </w:r>
      <w:r>
        <w:rPr>
          <w:rFonts w:eastAsia="Calibri"/>
          <w:sz w:val="16"/>
          <w:szCs w:val="16"/>
        </w:rPr>
        <w:lastRenderedPageBreak/>
        <w:t>emissions (e.g., expanded fossil fuel development) or that diminish carbon storage, intact systems, and biodiversity values through significant degradation or conversion of natural areas (e.g., clear- cut old growth logging and large-scale hard rock mining) could be considered (Wells et al., 2020).</w:t>
      </w:r>
      <w:r>
        <w:rPr>
          <w:rFonts w:eastAsia="Calibri"/>
          <w:u w:val="single"/>
        </w:rPr>
        <w:t xml:space="preserve"> Such targeted withdrawals </w:t>
      </w:r>
      <w:r>
        <w:rPr>
          <w:rFonts w:eastAsia="Calibri"/>
          <w:highlight w:val="yellow"/>
          <w:u w:val="single"/>
        </w:rPr>
        <w:t>provide near-term biodiversity and climate stabilization</w:t>
      </w:r>
      <w:r>
        <w:rPr>
          <w:rFonts w:eastAsia="Calibri"/>
          <w:u w:val="single"/>
        </w:rPr>
        <w:t xml:space="preserve"> benefits </w:t>
      </w:r>
      <w:r>
        <w:rPr>
          <w:rFonts w:eastAsia="Calibri"/>
          <w:highlight w:val="yellow"/>
          <w:u w:val="single"/>
        </w:rPr>
        <w:t>while</w:t>
      </w:r>
      <w:r>
        <w:rPr>
          <w:rFonts w:eastAsia="Calibri"/>
          <w:u w:val="single"/>
        </w:rPr>
        <w:t xml:space="preserve"> still </w:t>
      </w:r>
      <w:r>
        <w:rPr>
          <w:rFonts w:eastAsia="Calibri"/>
          <w:highlight w:val="yellow"/>
          <w:u w:val="single"/>
        </w:rPr>
        <w:t>meeting</w:t>
      </w:r>
      <w:r>
        <w:rPr>
          <w:rFonts w:eastAsia="Calibri"/>
          <w:u w:val="single"/>
        </w:rPr>
        <w:t xml:space="preserve"> other</w:t>
      </w:r>
      <w:r>
        <w:rPr>
          <w:rFonts w:eastAsia="Calibri"/>
          <w:highlight w:val="yellow"/>
          <w:u w:val="single"/>
        </w:rPr>
        <w:t xml:space="preserve"> human needs</w:t>
      </w:r>
      <w:r>
        <w:rPr>
          <w:rFonts w:eastAsia="Calibri"/>
          <w:u w:val="single"/>
        </w:rPr>
        <w:t xml:space="preserve"> and retaining the option to adjust management in the future.</w:t>
      </w:r>
      <w:r>
        <w:rPr>
          <w:rFonts w:eastAsia="Calibri"/>
          <w:sz w:val="16"/>
          <w:szCs w:val="16"/>
        </w:rPr>
        <w:t xml:space="preserve"> Targeted withdrawals or designations may be area-based or they may be ownership-based, such as withdrawals of categories of federally-owned or managed lands and waters from fossil fuel extraction, for example. The Northern Bering Sea Climate Resilience Area8 (NBSCRA) is an example of an area-based, targeted withdrawal of oil extraction activities. This designation, created in partnership between regional Indigenous entities, including over 70 federally recognized tribes, and the federal government, was also an example of a collaboratively-developed designation that increases authority, recognition, flexibility, and benefits to local stakeholders, particularly Indigenous peoples. Notably, the NBSCRA required for the first time that Indigenous knowledge be included in federal decision- making. Co-development of climate stabilization and resilience designations and approaches with federally-recognized tribes could provide a means of recognizing tribal sovereignty, tapping Indigenous knowledge and governance, addressing the needs of Indigenous communities, and achieving climate and biodiversity objectives in an eﬀective and socially just manner (Artelle et al., 2019). Designations might also include or be complemented by programs designed to be expanded to ensure multiple resource management benefits–such as water and food security and economic and educational opportunities–for resource users. Prioritization of a climate stabilization, adaptation, and resilience approach may also be attractive to Alaska Native corporate landowners if the benefits to shareholders were to outweigh the benefits of resource extraction that diminishes carbon storage and biodiversity conservation but currently provides needed economic activity. Sealaska, the regional Alaska Native corporation for Southeast Alaska, established a carbon bank of 165,000 acres (667.7 km2) of its lands in Southeast Alaska. No commercial timber harvest will occur on those lands for 100 years. </w:t>
      </w:r>
      <w:r>
        <w:rPr>
          <w:rFonts w:eastAsia="Calibri"/>
          <w:highlight w:val="yellow"/>
          <w:u w:val="single"/>
        </w:rPr>
        <w:t>Federal programs</w:t>
      </w:r>
      <w:r>
        <w:rPr>
          <w:rFonts w:eastAsia="Calibri"/>
          <w:u w:val="single"/>
        </w:rPr>
        <w:t xml:space="preserve"> could be </w:t>
      </w:r>
      <w:r>
        <w:rPr>
          <w:rFonts w:eastAsia="Calibri"/>
          <w:highlight w:val="yellow"/>
          <w:u w:val="single"/>
        </w:rPr>
        <w:t>designed</w:t>
      </w:r>
      <w:r>
        <w:rPr>
          <w:rFonts w:eastAsia="Calibri"/>
          <w:u w:val="single"/>
        </w:rPr>
        <w:t xml:space="preserve"> in partnership</w:t>
      </w:r>
      <w:r>
        <w:rPr>
          <w:rFonts w:eastAsia="Calibri"/>
          <w:highlight w:val="yellow"/>
          <w:u w:val="single"/>
        </w:rPr>
        <w:t xml:space="preserve"> with</w:t>
      </w:r>
      <w:r>
        <w:rPr>
          <w:rFonts w:eastAsia="Calibri"/>
          <w:u w:val="single"/>
        </w:rPr>
        <w:t xml:space="preserve"> Alaska Native corporate landowners,</w:t>
      </w:r>
      <w:r>
        <w:rPr>
          <w:rFonts w:eastAsia="Calibri"/>
          <w:highlight w:val="yellow"/>
          <w:u w:val="single"/>
        </w:rPr>
        <w:t xml:space="preserve"> federally-recognized tribes, and</w:t>
      </w:r>
      <w:r>
        <w:rPr>
          <w:rFonts w:eastAsia="Calibri"/>
          <w:u w:val="single"/>
        </w:rPr>
        <w:t xml:space="preserve"> Alaskan </w:t>
      </w:r>
      <w:r>
        <w:rPr>
          <w:rFonts w:eastAsia="Calibri"/>
          <w:highlight w:val="yellow"/>
          <w:u w:val="single"/>
        </w:rPr>
        <w:t>communities</w:t>
      </w:r>
      <w:r>
        <w:rPr>
          <w:rFonts w:eastAsia="Calibri"/>
          <w:u w:val="single"/>
        </w:rPr>
        <w:t xml:space="preserve"> that complement market-based actions and further incentivize climate stabilization and resilience investments on Alaska Native corporate lands and federal lands.</w:t>
      </w:r>
      <w:r>
        <w:rPr>
          <w:rFonts w:eastAsia="Calibri"/>
          <w:sz w:val="16"/>
          <w:szCs w:val="16"/>
        </w:rPr>
        <w:t xml:space="preserve"> These programs could also provide economic opportunities related to stewardship of carbon, food security, and other ecosystem services. Similarly, federal, state, and private partnerships may</w:t>
      </w:r>
      <w:r>
        <w:rPr>
          <w:rFonts w:eastAsia="Calibri"/>
          <w:sz w:val="16"/>
          <w:szCs w:val="16"/>
          <w:highlight w:val="yellow"/>
          <w:u w:val="single"/>
        </w:rPr>
        <w:t xml:space="preserve"> </w:t>
      </w:r>
      <w:r>
        <w:rPr>
          <w:rFonts w:eastAsia="Calibri"/>
          <w:highlight w:val="yellow"/>
          <w:u w:val="single"/>
        </w:rPr>
        <w:t>incentivize state climate stabilization</w:t>
      </w:r>
      <w:r>
        <w:rPr>
          <w:rFonts w:eastAsia="Calibri"/>
          <w:u w:val="single"/>
        </w:rPr>
        <w:t xml:space="preserve"> investments and enable coordinated climate stabilization strategies over intact systems with fragmented land ownership.</w:t>
      </w:r>
      <w:r>
        <w:rPr>
          <w:rFonts w:eastAsia="Calibri"/>
          <w:sz w:val="16"/>
          <w:szCs w:val="16"/>
        </w:rPr>
        <w:t xml:space="preserve"> Based on the information synthesized above, such an approach in Alaska should consider: 1. Maintaining intactness values: evaluate costs and benefits of developing industrial projects in intact areas as maintaining intact landscapes helps mitigate climate change as well as buﬀer its impacts Promoting proforestation—letting forests grow—as a forest management strategy and a component of ecosystem-based management. 3. Conserving forests with old trees. 4</w:t>
      </w:r>
      <w:r>
        <w:rPr>
          <w:rFonts w:eastAsia="Calibri"/>
        </w:rPr>
        <w:t>.</w:t>
      </w:r>
      <w:r>
        <w:rPr>
          <w:rFonts w:eastAsia="Calibri"/>
          <w:u w:val="single"/>
        </w:rPr>
        <w:t xml:space="preserve"> Together </w:t>
      </w:r>
      <w:r>
        <w:rPr>
          <w:rFonts w:eastAsia="Calibri"/>
          <w:highlight w:val="yellow"/>
          <w:u w:val="single"/>
        </w:rPr>
        <w:t>with local communities,</w:t>
      </w:r>
      <w:r>
        <w:rPr>
          <w:rFonts w:eastAsia="Calibri"/>
          <w:u w:val="single"/>
        </w:rPr>
        <w:t xml:space="preserve"> addressing and </w:t>
      </w:r>
      <w:r>
        <w:rPr>
          <w:rFonts w:eastAsia="Calibri"/>
          <w:highlight w:val="yellow"/>
          <w:u w:val="single"/>
        </w:rPr>
        <w:t>developing</w:t>
      </w:r>
      <w:r>
        <w:rPr>
          <w:rFonts w:eastAsia="Calibri"/>
          <w:u w:val="single"/>
        </w:rPr>
        <w:t xml:space="preserve"> wildfire response strategies and stewardship and restoration strategies that promote carbon storage.</w:t>
      </w:r>
      <w:r>
        <w:rPr>
          <w:rFonts w:eastAsia="Calibri"/>
          <w:sz w:val="16"/>
          <w:szCs w:val="16"/>
        </w:rPr>
        <w:t xml:space="preserve"> 5. Prioritizing conservation and restoration of intact large mammal faunas and healthy salmon streams; presence of viable populations of these species confer systems-level carbon storage, and a myriad of other benefits for people and nature.</w:t>
      </w:r>
      <w:r>
        <w:rPr>
          <w:rFonts w:eastAsia="Calibri"/>
          <w:u w:val="single"/>
        </w:rPr>
        <w:t xml:space="preserve"> A </w:t>
      </w:r>
      <w:r>
        <w:rPr>
          <w:rFonts w:eastAsia="Calibri"/>
          <w:highlight w:val="yellow"/>
          <w:u w:val="single"/>
        </w:rPr>
        <w:t>climate stabilization and resilience approach</w:t>
      </w:r>
      <w:r>
        <w:rPr>
          <w:rFonts w:eastAsia="Calibri"/>
          <w:u w:val="single"/>
        </w:rPr>
        <w:t xml:space="preserve"> could also involve greater focus of public resources and funding</w:t>
      </w:r>
      <w:r>
        <w:rPr>
          <w:rFonts w:eastAsia="Calibri"/>
          <w:sz w:val="16"/>
          <w:szCs w:val="16"/>
        </w:rPr>
        <w:t xml:space="preserve"> for a research agenda to better inform land managers in stewarding Alaska’s systems</w:t>
      </w:r>
      <w:r>
        <w:rPr>
          <w:rFonts w:eastAsia="Calibri"/>
        </w:rPr>
        <w:t xml:space="preserve">. </w:t>
      </w:r>
      <w:r>
        <w:rPr>
          <w:rFonts w:eastAsia="Calibri"/>
          <w:u w:val="single"/>
        </w:rPr>
        <w:t xml:space="preserve">Such an approach should </w:t>
      </w:r>
      <w:r>
        <w:rPr>
          <w:rFonts w:eastAsia="Calibri"/>
          <w:highlight w:val="yellow"/>
          <w:u w:val="single"/>
        </w:rPr>
        <w:t>also facilitate greater support and funding for</w:t>
      </w:r>
      <w:r>
        <w:rPr>
          <w:rFonts w:eastAsia="Calibri"/>
          <w:u w:val="single"/>
        </w:rPr>
        <w:t xml:space="preserve"> Indigenous-led research and </w:t>
      </w:r>
      <w:r>
        <w:rPr>
          <w:rFonts w:eastAsia="Calibri"/>
          <w:highlight w:val="yellow"/>
          <w:u w:val="single"/>
        </w:rPr>
        <w:t>co- production of knowledge with Indigenous Peoples</w:t>
      </w:r>
      <w:r>
        <w:rPr>
          <w:rFonts w:eastAsia="Calibri"/>
        </w:rPr>
        <w:t xml:space="preserve">. </w:t>
      </w:r>
      <w:r>
        <w:rPr>
          <w:rFonts w:eastAsia="Calibri"/>
          <w:sz w:val="16"/>
          <w:szCs w:val="16"/>
        </w:rPr>
        <w:t>According to a recent report assessing natural climate solutions across the United States, priority areas to maintain in Alaska comprise 29% of total carbon storage across all ecosystems, and are extremely important in terms of the United States commitment to draw down greenhouse gas emissions9. Filling key research gaps, particularly related to how the role of wildfire and ecosystem shifts may aﬀect the carbon balance in Alaska, is particularly important. We elaborate on this and other research priorities in the next section.</w:t>
      </w:r>
    </w:p>
    <w:p w14:paraId="2BC0BD25" w14:textId="77777777" w:rsidR="00884C08" w:rsidRDefault="00884C08" w:rsidP="001E0E32">
      <w:pPr>
        <w:pStyle w:val="Heading4"/>
        <w:rPr>
          <w:rFonts w:eastAsia="Calibri"/>
        </w:rPr>
      </w:pPr>
      <w:bookmarkStart w:id="8" w:name="_ff4unf4fxn2s" w:colFirst="0" w:colLast="0"/>
      <w:bookmarkEnd w:id="8"/>
      <w:r>
        <w:rPr>
          <w:rFonts w:eastAsia="Calibri"/>
        </w:rPr>
        <w:t>Indigenous guardianship and stewardship over homelands is a first step in righting historical injustices - it shifts land management to a grassroots,  community based model to facilitate the healing of ecosystems and guarantee Indigenous well-being.</w:t>
      </w:r>
    </w:p>
    <w:p w14:paraId="1C24F3E8" w14:textId="77777777" w:rsidR="00884C08" w:rsidRDefault="00884C08" w:rsidP="00884C08">
      <w:pPr>
        <w:spacing w:before="40" w:line="303" w:lineRule="auto"/>
        <w:rPr>
          <w:rFonts w:eastAsia="Calibri"/>
        </w:rPr>
      </w:pPr>
      <w:r>
        <w:rPr>
          <w:rFonts w:eastAsia="Calibri"/>
          <w:b/>
          <w:bCs/>
          <w:sz w:val="26"/>
          <w:szCs w:val="26"/>
        </w:rPr>
        <w:t xml:space="preserve">Mustonen 2022 </w:t>
      </w:r>
      <w:r>
        <w:rPr>
          <w:rFonts w:eastAsia="Calibri"/>
        </w:rPr>
        <w:t xml:space="preserve"> [Mustonen, Tero, Antoine Scherer, and Jennifer Kelleher. "We belong to the land: Review of two northern rewilding sites as a vehicle for equity in conservation." Humanities and Social Sciences Communications 9, no. 1 (2022): 1-9.]</w:t>
      </w:r>
    </w:p>
    <w:p w14:paraId="50ADDF5A" w14:textId="77777777" w:rsidR="00884C08" w:rsidRDefault="00884C08" w:rsidP="00884C08">
      <w:pPr>
        <w:spacing w:before="40" w:line="303" w:lineRule="auto"/>
        <w:rPr>
          <w:rFonts w:eastAsia="Calibri"/>
          <w:sz w:val="24"/>
          <w:szCs w:val="24"/>
        </w:rPr>
      </w:pPr>
      <w:r>
        <w:rPr>
          <w:rFonts w:eastAsia="Calibri"/>
          <w:color w:val="222222"/>
          <w:sz w:val="24"/>
          <w:szCs w:val="24"/>
          <w:u w:val="single"/>
        </w:rPr>
        <w:t>This</w:t>
      </w:r>
      <w:r>
        <w:rPr>
          <w:rFonts w:eastAsia="Calibri"/>
          <w:color w:val="222222"/>
          <w:sz w:val="16"/>
          <w:szCs w:val="16"/>
        </w:rPr>
        <w:t xml:space="preserve"> geographical methodology with case studies </w:t>
      </w:r>
      <w:r>
        <w:rPr>
          <w:rFonts w:eastAsia="Calibri"/>
          <w:color w:val="222222"/>
          <w:sz w:val="24"/>
          <w:szCs w:val="24"/>
          <w:u w:val="single"/>
        </w:rPr>
        <w:t xml:space="preserve">allows for a discussion on achieving </w:t>
      </w:r>
      <w:r>
        <w:rPr>
          <w:rFonts w:eastAsia="Calibri"/>
          <w:sz w:val="24"/>
          <w:szCs w:val="24"/>
          <w:highlight w:val="green"/>
          <w:u w:val="single"/>
        </w:rPr>
        <w:t>biodiversity conservation</w:t>
      </w:r>
      <w:r>
        <w:rPr>
          <w:rFonts w:eastAsia="Calibri"/>
          <w:sz w:val="24"/>
          <w:szCs w:val="24"/>
          <w:u w:val="single"/>
        </w:rPr>
        <w:t xml:space="preserve"> through or </w:t>
      </w:r>
      <w:r>
        <w:rPr>
          <w:rFonts w:eastAsia="Calibri"/>
          <w:sz w:val="24"/>
          <w:szCs w:val="24"/>
          <w:highlight w:val="green"/>
          <w:u w:val="single"/>
        </w:rPr>
        <w:t>via the recognition of rights, cultural</w:t>
      </w:r>
      <w:r>
        <w:rPr>
          <w:rFonts w:eastAsia="Calibri"/>
          <w:sz w:val="24"/>
          <w:szCs w:val="24"/>
          <w:u w:val="single"/>
        </w:rPr>
        <w:t xml:space="preserve"> diversity, </w:t>
      </w:r>
      <w:r>
        <w:rPr>
          <w:rFonts w:eastAsia="Calibri"/>
          <w:sz w:val="24"/>
          <w:szCs w:val="24"/>
          <w:highlight w:val="green"/>
          <w:u w:val="single"/>
        </w:rPr>
        <w:t>and governance diversity</w:t>
      </w:r>
      <w:r>
        <w:rPr>
          <w:rFonts w:eastAsia="Calibri"/>
          <w:color w:val="222222"/>
          <w:sz w:val="16"/>
          <w:szCs w:val="16"/>
        </w:rPr>
        <w:t xml:space="preserve">. It </w:t>
      </w:r>
      <w:r>
        <w:rPr>
          <w:rFonts w:eastAsia="Calibri"/>
          <w:color w:val="222222"/>
          <w:sz w:val="24"/>
          <w:szCs w:val="24"/>
          <w:highlight w:val="green"/>
          <w:u w:val="single"/>
        </w:rPr>
        <w:t xml:space="preserve">acknowledges historical injustice </w:t>
      </w:r>
      <w:r>
        <w:rPr>
          <w:rFonts w:eastAsia="Calibri"/>
          <w:color w:val="222222"/>
          <w:sz w:val="24"/>
          <w:szCs w:val="24"/>
          <w:u w:val="single"/>
        </w:rPr>
        <w:t>while also contemplating recognizing a more culturally diverse society, which redresses the imbalance of dominant systems over the past centuries. Dynamic conservation sites may reflect cyclic events of nature</w:t>
      </w:r>
      <w:r>
        <w:rPr>
          <w:rFonts w:eastAsia="Calibri"/>
          <w:color w:val="222222"/>
          <w:sz w:val="16"/>
          <w:szCs w:val="16"/>
        </w:rPr>
        <w:t>, seasons, and temporal variation (Mustonen and Kontkanen,</w:t>
      </w:r>
      <w:hyperlink r:id="rId5" w:anchor="ref-CR27">
        <w:r>
          <w:rPr>
            <w:rFonts w:eastAsia="Calibri"/>
            <w:color w:val="222222"/>
            <w:sz w:val="16"/>
            <w:szCs w:val="16"/>
          </w:rPr>
          <w:t xml:space="preserve"> </w:t>
        </w:r>
      </w:hyperlink>
      <w:hyperlink r:id="rId6" w:anchor="ref-CR27">
        <w:r>
          <w:rPr>
            <w:rFonts w:eastAsia="Calibri"/>
            <w:color w:val="006699"/>
            <w:sz w:val="24"/>
            <w:szCs w:val="24"/>
          </w:rPr>
          <w:t>2019</w:t>
        </w:r>
      </w:hyperlink>
      <w:r>
        <w:rPr>
          <w:rFonts w:eastAsia="Calibri"/>
          <w:color w:val="222222"/>
          <w:sz w:val="16"/>
          <w:szCs w:val="16"/>
        </w:rPr>
        <w:t xml:space="preserve">). For example, flocks of birds define feeding and resting areas during their migrations—what could be the status of those sites outside the primary abundance? At other times such a site could be managed for lesser conservation value as long as its key components were preserved. Secondly, </w:t>
      </w:r>
      <w:r>
        <w:rPr>
          <w:rFonts w:eastAsia="Calibri"/>
          <w:color w:val="222222"/>
          <w:sz w:val="24"/>
          <w:szCs w:val="24"/>
          <w:u w:val="single"/>
        </w:rPr>
        <w:t>Indigenous rights and equity in conservation</w:t>
      </w:r>
      <w:r>
        <w:rPr>
          <w:rFonts w:eastAsia="Calibri"/>
          <w:color w:val="222222"/>
          <w:sz w:val="16"/>
          <w:szCs w:val="16"/>
        </w:rPr>
        <w:t xml:space="preserve"> (Schlosberg,</w:t>
      </w:r>
      <w:hyperlink r:id="rId7" w:anchor="ref-CR37">
        <w:r>
          <w:rPr>
            <w:rFonts w:eastAsia="Calibri"/>
            <w:color w:val="222222"/>
            <w:sz w:val="16"/>
            <w:szCs w:val="16"/>
          </w:rPr>
          <w:t xml:space="preserve"> </w:t>
        </w:r>
      </w:hyperlink>
      <w:hyperlink r:id="rId8" w:anchor="ref-CR37">
        <w:r>
          <w:rPr>
            <w:rFonts w:eastAsia="Calibri"/>
            <w:color w:val="006699"/>
            <w:sz w:val="24"/>
            <w:szCs w:val="24"/>
          </w:rPr>
          <w:t>2007</w:t>
        </w:r>
      </w:hyperlink>
      <w:r>
        <w:rPr>
          <w:rFonts w:eastAsia="Calibri"/>
          <w:color w:val="222222"/>
          <w:sz w:val="16"/>
          <w:szCs w:val="16"/>
        </w:rPr>
        <w:t xml:space="preserve">) </w:t>
      </w:r>
      <w:r>
        <w:rPr>
          <w:rFonts w:eastAsia="Calibri"/>
          <w:color w:val="222222"/>
          <w:sz w:val="24"/>
          <w:szCs w:val="24"/>
          <w:u w:val="single"/>
        </w:rPr>
        <w:t xml:space="preserve">are </w:t>
      </w:r>
      <w:r>
        <w:rPr>
          <w:rFonts w:eastAsia="Calibri"/>
          <w:sz w:val="24"/>
          <w:szCs w:val="24"/>
          <w:highlight w:val="green"/>
          <w:u w:val="single"/>
        </w:rPr>
        <w:t>needed to realize</w:t>
      </w:r>
      <w:r>
        <w:rPr>
          <w:rFonts w:eastAsia="Calibri"/>
          <w:sz w:val="24"/>
          <w:szCs w:val="24"/>
          <w:u w:val="single"/>
        </w:rPr>
        <w:t xml:space="preserve"> stable and persistent </w:t>
      </w:r>
      <w:r>
        <w:rPr>
          <w:rFonts w:eastAsia="Calibri"/>
          <w:sz w:val="24"/>
          <w:szCs w:val="24"/>
          <w:highlight w:val="green"/>
          <w:u w:val="single"/>
        </w:rPr>
        <w:t>governance and land uses.</w:t>
      </w:r>
      <w:r>
        <w:rPr>
          <w:rFonts w:eastAsia="Calibri"/>
          <w:color w:val="222222"/>
          <w:sz w:val="16"/>
          <w:szCs w:val="16"/>
        </w:rPr>
        <w:t xml:space="preserve"> One avenue lies in registering these areas as ICCAs, also called Territories of Life. This places the governance away from centralized agencies and back into the hands of those living </w:t>
      </w:r>
      <w:r>
        <w:rPr>
          <w:rFonts w:eastAsia="Calibri"/>
          <w:color w:val="222222"/>
          <w:sz w:val="16"/>
          <w:szCs w:val="16"/>
        </w:rPr>
        <w:lastRenderedPageBreak/>
        <w:t xml:space="preserve">closest to the resources. </w:t>
      </w:r>
      <w:r>
        <w:rPr>
          <w:rFonts w:eastAsia="Calibri"/>
          <w:color w:val="222222"/>
          <w:sz w:val="24"/>
          <w:szCs w:val="24"/>
          <w:u w:val="single"/>
        </w:rPr>
        <w:t>ICCAs are recognized globally as conservation areas (CBD, IUCN) and embody a dynamic and rights-based approach (Farvar et al.,</w:t>
      </w:r>
      <w:hyperlink r:id="rId9" w:anchor="ref-CR8">
        <w:r>
          <w:rPr>
            <w:rFonts w:eastAsia="Calibri"/>
            <w:color w:val="222222"/>
            <w:sz w:val="24"/>
            <w:szCs w:val="24"/>
            <w:u w:val="single"/>
          </w:rPr>
          <w:t xml:space="preserve"> </w:t>
        </w:r>
      </w:hyperlink>
      <w:hyperlink r:id="rId10" w:anchor="ref-CR8">
        <w:r>
          <w:rPr>
            <w:rFonts w:eastAsia="Calibri"/>
            <w:color w:val="006699"/>
            <w:sz w:val="24"/>
            <w:szCs w:val="24"/>
          </w:rPr>
          <w:t>2018</w:t>
        </w:r>
      </w:hyperlink>
      <w:r>
        <w:rPr>
          <w:rFonts w:eastAsia="Calibri"/>
          <w:color w:val="222222"/>
          <w:sz w:val="24"/>
          <w:szCs w:val="24"/>
          <w:u w:val="single"/>
        </w:rPr>
        <w:t>). ICCAs, therefore, form a crucial component of “equitable nature conservation,”</w:t>
      </w:r>
      <w:r>
        <w:rPr>
          <w:rFonts w:eastAsia="Calibri"/>
          <w:color w:val="222222"/>
          <w:sz w:val="16"/>
          <w:szCs w:val="16"/>
        </w:rPr>
        <w:t xml:space="preserve"> as articulated in the global targets under the CBD, and are likely to appear in </w:t>
      </w:r>
      <w:r>
        <w:rPr>
          <w:rFonts w:eastAsia="Calibri"/>
          <w:color w:val="222222"/>
          <w:sz w:val="24"/>
          <w:szCs w:val="24"/>
          <w:u w:val="single"/>
        </w:rPr>
        <w:t>new international policies on climate change and biodiversity conservation</w:t>
      </w:r>
      <w:r>
        <w:rPr>
          <w:rFonts w:eastAsia="Calibri"/>
          <w:color w:val="222222"/>
          <w:sz w:val="16"/>
          <w:szCs w:val="16"/>
        </w:rPr>
        <w:t xml:space="preserve">. </w:t>
      </w:r>
      <w:r>
        <w:rPr>
          <w:rFonts w:eastAsia="Calibri"/>
          <w:color w:val="222222"/>
          <w:sz w:val="24"/>
          <w:szCs w:val="24"/>
          <w:u w:val="single"/>
        </w:rPr>
        <w:t>The word “equity” denotes fairness</w:t>
      </w:r>
      <w:r>
        <w:rPr>
          <w:rFonts w:eastAsia="Calibri"/>
          <w:color w:val="222222"/>
          <w:sz w:val="16"/>
          <w:szCs w:val="16"/>
        </w:rPr>
        <w:t xml:space="preserve"> and comprises three aspects: recognition of actors, their diverse knowledge, culture, and governance systems; procedural rights, including access to justice and conflict resolution; distributive equity, the fair sharing of costs and benefits of conservation (CBD,</w:t>
      </w:r>
      <w:hyperlink r:id="rId11" w:anchor="ref-CR5">
        <w:r>
          <w:rPr>
            <w:rFonts w:eastAsia="Calibri"/>
            <w:color w:val="222222"/>
            <w:sz w:val="16"/>
            <w:szCs w:val="16"/>
          </w:rPr>
          <w:t xml:space="preserve"> </w:t>
        </w:r>
      </w:hyperlink>
      <w:hyperlink r:id="rId12" w:anchor="ref-CR5">
        <w:r>
          <w:rPr>
            <w:rFonts w:eastAsia="Calibri"/>
            <w:color w:val="006699"/>
            <w:sz w:val="24"/>
            <w:szCs w:val="24"/>
          </w:rPr>
          <w:t>2018</w:t>
        </w:r>
      </w:hyperlink>
      <w:r>
        <w:rPr>
          <w:rFonts w:eastAsia="Calibri"/>
          <w:color w:val="222222"/>
          <w:sz w:val="16"/>
          <w:szCs w:val="16"/>
        </w:rPr>
        <w:t>; Ostrom,</w:t>
      </w:r>
      <w:hyperlink r:id="rId13" w:anchor="ref-CR31">
        <w:r>
          <w:rPr>
            <w:rFonts w:eastAsia="Calibri"/>
            <w:color w:val="222222"/>
            <w:sz w:val="16"/>
            <w:szCs w:val="16"/>
          </w:rPr>
          <w:t xml:space="preserve"> </w:t>
        </w:r>
      </w:hyperlink>
      <w:hyperlink r:id="rId14" w:anchor="ref-CR31">
        <w:r>
          <w:rPr>
            <w:rFonts w:eastAsia="Calibri"/>
            <w:color w:val="006699"/>
            <w:sz w:val="24"/>
            <w:szCs w:val="24"/>
          </w:rPr>
          <w:t>2009</w:t>
        </w:r>
      </w:hyperlink>
      <w:r>
        <w:rPr>
          <w:rFonts w:eastAsia="Calibri"/>
          <w:color w:val="222222"/>
          <w:sz w:val="16"/>
          <w:szCs w:val="16"/>
        </w:rPr>
        <w:t xml:space="preserve">). The ICCA Consortium has developed a typology that can be used as a theoretical framework to define ICCAs. </w:t>
      </w:r>
      <w:r>
        <w:rPr>
          <w:rFonts w:eastAsia="Calibri"/>
          <w:color w:val="222222"/>
          <w:sz w:val="24"/>
          <w:szCs w:val="24"/>
          <w:u w:val="single"/>
        </w:rPr>
        <w:t>An ICCA is</w:t>
      </w:r>
      <w:r>
        <w:rPr>
          <w:rFonts w:eastAsia="Calibri"/>
          <w:sz w:val="24"/>
          <w:szCs w:val="24"/>
          <w:highlight w:val="green"/>
          <w:u w:val="single"/>
        </w:rPr>
        <w:t xml:space="preserve"> where there is a close association between</w:t>
      </w:r>
      <w:r>
        <w:rPr>
          <w:rFonts w:eastAsia="Calibri"/>
          <w:sz w:val="24"/>
          <w:szCs w:val="24"/>
          <w:u w:val="single"/>
        </w:rPr>
        <w:t xml:space="preserve"> a specific indigenous people or local community and </w:t>
      </w:r>
      <w:r>
        <w:rPr>
          <w:rFonts w:eastAsia="Calibri"/>
          <w:sz w:val="24"/>
          <w:szCs w:val="24"/>
          <w:highlight w:val="green"/>
          <w:u w:val="single"/>
        </w:rPr>
        <w:t>a</w:t>
      </w:r>
      <w:r>
        <w:rPr>
          <w:rFonts w:eastAsia="Calibri"/>
          <w:sz w:val="24"/>
          <w:szCs w:val="24"/>
          <w:u w:val="single"/>
        </w:rPr>
        <w:t xml:space="preserve"> specific </w:t>
      </w:r>
      <w:r>
        <w:rPr>
          <w:rFonts w:eastAsia="Calibri"/>
          <w:sz w:val="24"/>
          <w:szCs w:val="24"/>
          <w:highlight w:val="green"/>
          <w:u w:val="single"/>
        </w:rPr>
        <w:t>territory</w:t>
      </w:r>
      <w:r>
        <w:rPr>
          <w:rFonts w:eastAsia="Calibri"/>
          <w:sz w:val="24"/>
          <w:szCs w:val="24"/>
          <w:u w:val="single"/>
        </w:rPr>
        <w:t xml:space="preserve"> (Ostrom,</w:t>
      </w:r>
      <w:hyperlink r:id="rId15" w:anchor="ref-CR31">
        <w:r>
          <w:rPr>
            <w:rFonts w:eastAsia="Calibri"/>
            <w:sz w:val="24"/>
            <w:szCs w:val="24"/>
            <w:u w:val="single"/>
          </w:rPr>
          <w:t xml:space="preserve"> </w:t>
        </w:r>
      </w:hyperlink>
      <w:hyperlink r:id="rId16" w:anchor="ref-CR31">
        <w:r>
          <w:rPr>
            <w:rFonts w:eastAsia="Calibri"/>
            <w:color w:val="006699"/>
            <w:sz w:val="24"/>
            <w:szCs w:val="24"/>
          </w:rPr>
          <w:t>2009</w:t>
        </w:r>
      </w:hyperlink>
      <w:r>
        <w:rPr>
          <w:rFonts w:eastAsia="Calibri"/>
          <w:color w:val="222222"/>
          <w:sz w:val="24"/>
          <w:szCs w:val="24"/>
          <w:u w:val="single"/>
        </w:rPr>
        <w:t xml:space="preserve">), area, or body of natural resources. When this association is </w:t>
      </w:r>
      <w:r>
        <w:rPr>
          <w:rFonts w:eastAsia="Calibri"/>
          <w:sz w:val="24"/>
          <w:szCs w:val="24"/>
          <w:highlight w:val="green"/>
          <w:u w:val="single"/>
        </w:rPr>
        <w:t>combined with effective</w:t>
      </w:r>
      <w:r>
        <w:rPr>
          <w:rFonts w:eastAsia="Calibri"/>
          <w:sz w:val="24"/>
          <w:szCs w:val="24"/>
          <w:u w:val="single"/>
        </w:rPr>
        <w:t xml:space="preserve"> local </w:t>
      </w:r>
      <w:r>
        <w:rPr>
          <w:rFonts w:eastAsia="Calibri"/>
          <w:sz w:val="24"/>
          <w:szCs w:val="24"/>
          <w:highlight w:val="green"/>
          <w:u w:val="single"/>
        </w:rPr>
        <w:t>governance</w:t>
      </w:r>
      <w:r>
        <w:rPr>
          <w:rFonts w:eastAsia="Calibri"/>
          <w:sz w:val="24"/>
          <w:szCs w:val="24"/>
          <w:u w:val="single"/>
        </w:rPr>
        <w:t xml:space="preserve"> or decision-making, </w:t>
      </w:r>
      <w:r>
        <w:rPr>
          <w:rFonts w:eastAsia="Calibri"/>
          <w:sz w:val="24"/>
          <w:szCs w:val="24"/>
          <w:highlight w:val="green"/>
          <w:u w:val="single"/>
        </w:rPr>
        <w:t>and the</w:t>
      </w:r>
      <w:r>
        <w:rPr>
          <w:rFonts w:eastAsia="Calibri"/>
          <w:sz w:val="24"/>
          <w:szCs w:val="24"/>
          <w:u w:val="single"/>
        </w:rPr>
        <w:t xml:space="preserve"> effective </w:t>
      </w:r>
      <w:r>
        <w:rPr>
          <w:rFonts w:eastAsia="Calibri"/>
          <w:sz w:val="24"/>
          <w:szCs w:val="24"/>
          <w:highlight w:val="green"/>
          <w:u w:val="single"/>
        </w:rPr>
        <w:t>conservation of nature,</w:t>
      </w:r>
      <w:r>
        <w:rPr>
          <w:rFonts w:eastAsia="Calibri"/>
          <w:sz w:val="24"/>
          <w:szCs w:val="24"/>
          <w:u w:val="single"/>
        </w:rPr>
        <w:t xml:space="preserve"> it qualifies as an ICCA.</w:t>
      </w:r>
      <w:r>
        <w:rPr>
          <w:rFonts w:eastAsia="Calibri"/>
          <w:color w:val="222222"/>
          <w:sz w:val="16"/>
          <w:szCs w:val="16"/>
        </w:rPr>
        <w:t xml:space="preserve"> These are self-identified and reported globally via the ICCA Registry (WDPA,</w:t>
      </w:r>
      <w:hyperlink r:id="rId17" w:anchor="ref-CR44">
        <w:r>
          <w:rPr>
            <w:rFonts w:eastAsia="Calibri"/>
            <w:color w:val="222222"/>
            <w:sz w:val="16"/>
            <w:szCs w:val="16"/>
          </w:rPr>
          <w:t xml:space="preserve"> </w:t>
        </w:r>
      </w:hyperlink>
      <w:hyperlink r:id="rId18" w:anchor="ref-CR44">
        <w:r>
          <w:rPr>
            <w:rFonts w:eastAsia="Calibri"/>
            <w:color w:val="006699"/>
            <w:sz w:val="24"/>
            <w:szCs w:val="24"/>
          </w:rPr>
          <w:t>2020</w:t>
        </w:r>
      </w:hyperlink>
      <w:r>
        <w:rPr>
          <w:rFonts w:eastAsia="Calibri"/>
          <w:color w:val="222222"/>
          <w:sz w:val="16"/>
          <w:szCs w:val="16"/>
        </w:rPr>
        <w:t>). The ICCA Consortium has further distinguished defined, disrupted, and desired ICCAs (Farvar et al.,</w:t>
      </w:r>
      <w:hyperlink r:id="rId19" w:anchor="ref-CR8">
        <w:r>
          <w:rPr>
            <w:rFonts w:eastAsia="Calibri"/>
            <w:color w:val="222222"/>
            <w:sz w:val="16"/>
            <w:szCs w:val="16"/>
          </w:rPr>
          <w:t xml:space="preserve"> </w:t>
        </w:r>
      </w:hyperlink>
      <w:hyperlink r:id="rId20" w:anchor="ref-CR8">
        <w:r>
          <w:rPr>
            <w:rFonts w:eastAsia="Calibri"/>
            <w:color w:val="006699"/>
            <w:sz w:val="24"/>
            <w:szCs w:val="24"/>
          </w:rPr>
          <w:t>2018</w:t>
        </w:r>
      </w:hyperlink>
      <w:r>
        <w:rPr>
          <w:rFonts w:eastAsia="Calibri"/>
          <w:color w:val="222222"/>
          <w:sz w:val="16"/>
          <w:szCs w:val="16"/>
        </w:rPr>
        <w:t>). This definition offers an interpretative assessment scale for our paper in the Finnish and Sámi contexts. Conceptualization must be refined and completed, and a Northern view of ICCAs must be developed. For instance, in Finland, there are no specific rights per se for local communities, and the indigenous Sámi groups are still struggling for governance over their ancestral lands (Joona,</w:t>
      </w:r>
      <w:hyperlink r:id="rId21" w:anchor="ref-CR16">
        <w:r>
          <w:rPr>
            <w:rFonts w:eastAsia="Calibri"/>
            <w:color w:val="222222"/>
            <w:sz w:val="16"/>
            <w:szCs w:val="16"/>
          </w:rPr>
          <w:t xml:space="preserve"> </w:t>
        </w:r>
      </w:hyperlink>
      <w:hyperlink r:id="rId22" w:anchor="ref-CR16">
        <w:r>
          <w:rPr>
            <w:rFonts w:eastAsia="Calibri"/>
            <w:color w:val="006699"/>
            <w:sz w:val="24"/>
            <w:szCs w:val="24"/>
          </w:rPr>
          <w:t>2020</w:t>
        </w:r>
      </w:hyperlink>
      <w:r>
        <w:rPr>
          <w:rFonts w:eastAsia="Calibri"/>
          <w:color w:val="222222"/>
          <w:sz w:val="16"/>
          <w:szCs w:val="16"/>
        </w:rPr>
        <w:t>; Mustonen,</w:t>
      </w:r>
      <w:hyperlink r:id="rId23" w:anchor="ref-CR25">
        <w:r>
          <w:rPr>
            <w:rFonts w:eastAsia="Calibri"/>
            <w:color w:val="222222"/>
            <w:sz w:val="16"/>
            <w:szCs w:val="16"/>
          </w:rPr>
          <w:t xml:space="preserve"> </w:t>
        </w:r>
      </w:hyperlink>
      <w:hyperlink r:id="rId24" w:anchor="ref-CR25">
        <w:r>
          <w:rPr>
            <w:rFonts w:eastAsia="Calibri"/>
            <w:color w:val="006699"/>
            <w:sz w:val="24"/>
            <w:szCs w:val="24"/>
          </w:rPr>
          <w:t>2017</w:t>
        </w:r>
      </w:hyperlink>
      <w:r>
        <w:rPr>
          <w:rFonts w:eastAsia="Calibri"/>
          <w:color w:val="222222"/>
          <w:sz w:val="16"/>
          <w:szCs w:val="16"/>
        </w:rPr>
        <w:t xml:space="preserve">). </w:t>
      </w:r>
      <w:r>
        <w:rPr>
          <w:rFonts w:eastAsia="Calibri"/>
          <w:color w:val="222222"/>
          <w:sz w:val="24"/>
          <w:szCs w:val="24"/>
          <w:u w:val="single"/>
        </w:rPr>
        <w:t xml:space="preserve">A discussion should now be started to introduce the concept of </w:t>
      </w:r>
      <w:r>
        <w:rPr>
          <w:rFonts w:eastAsia="Calibri"/>
          <w:sz w:val="24"/>
          <w:szCs w:val="24"/>
          <w:u w:val="single"/>
        </w:rPr>
        <w:t>ICCAs to raise awareness on the rights of indigenous peoples and local communities in Finland, intertwined with rewilding</w:t>
      </w:r>
      <w:r>
        <w:rPr>
          <w:rFonts w:eastAsia="Calibri"/>
          <w:color w:val="222222"/>
          <w:sz w:val="16"/>
          <w:szCs w:val="16"/>
        </w:rPr>
        <w:t>. As of August 2022, three areas in Finland have the official “ICCA” registry status. Ostrom (</w:t>
      </w:r>
      <w:hyperlink r:id="rId25" w:anchor="ref-CR31">
        <w:r>
          <w:rPr>
            <w:rFonts w:eastAsia="Calibri"/>
            <w:color w:val="006699"/>
            <w:sz w:val="24"/>
            <w:szCs w:val="24"/>
          </w:rPr>
          <w:t>2009</w:t>
        </w:r>
      </w:hyperlink>
      <w:r>
        <w:rPr>
          <w:rFonts w:eastAsia="Calibri"/>
          <w:color w:val="222222"/>
          <w:sz w:val="16"/>
          <w:szCs w:val="16"/>
        </w:rPr>
        <w:t xml:space="preserve">) provides a change in perspective for these conservation targets. ++++  After 2018–2021, the restoration actions in this former industrial peat mining area started to demonstrate rapid recovery. </w:t>
      </w:r>
      <w:r>
        <w:rPr>
          <w:rFonts w:eastAsia="Calibri"/>
          <w:color w:val="222222"/>
          <w:sz w:val="24"/>
          <w:szCs w:val="24"/>
          <w:u w:val="single"/>
        </w:rPr>
        <w:t xml:space="preserve">Rewilding also addressed loading issues into downstream waters. Lastly, rewilding prevents soil-based carbon dioxide emissions from peatlands </w:t>
      </w:r>
      <w:r>
        <w:rPr>
          <w:rFonts w:eastAsia="Calibri"/>
          <w:color w:val="222222"/>
          <w:sz w:val="16"/>
          <w:szCs w:val="16"/>
        </w:rPr>
        <w:t>(Scherer,</w:t>
      </w:r>
      <w:hyperlink r:id="rId26" w:anchor="ref-CR38">
        <w:r>
          <w:rPr>
            <w:rFonts w:eastAsia="Calibri"/>
            <w:color w:val="222222"/>
            <w:sz w:val="16"/>
            <w:szCs w:val="16"/>
          </w:rPr>
          <w:t xml:space="preserve"> </w:t>
        </w:r>
      </w:hyperlink>
      <w:hyperlink r:id="rId27" w:anchor="ref-CR38">
        <w:r>
          <w:rPr>
            <w:rFonts w:eastAsia="Calibri"/>
            <w:color w:val="006699"/>
            <w:sz w:val="24"/>
            <w:szCs w:val="24"/>
          </w:rPr>
          <w:t>2022</w:t>
        </w:r>
      </w:hyperlink>
      <w:r>
        <w:rPr>
          <w:rFonts w:eastAsia="Calibri"/>
          <w:color w:val="222222"/>
          <w:sz w:val="16"/>
          <w:szCs w:val="16"/>
        </w:rPr>
        <w:t>, in press). Based on returning bird species as indicators of restoration, a recent summary demonstrates this recovery (Kontkanen,</w:t>
      </w:r>
      <w:hyperlink r:id="rId28" w:anchor="ref-CR20">
        <w:r>
          <w:rPr>
            <w:rFonts w:eastAsia="Calibri"/>
            <w:color w:val="222222"/>
            <w:sz w:val="16"/>
            <w:szCs w:val="16"/>
          </w:rPr>
          <w:t xml:space="preserve"> </w:t>
        </w:r>
      </w:hyperlink>
      <w:hyperlink r:id="rId29" w:anchor="ref-CR20">
        <w:r>
          <w:rPr>
            <w:rFonts w:eastAsia="Calibri"/>
            <w:color w:val="006699"/>
            <w:sz w:val="24"/>
            <w:szCs w:val="24"/>
          </w:rPr>
          <w:t>2019</w:t>
        </w:r>
      </w:hyperlink>
      <w:r>
        <w:rPr>
          <w:rFonts w:eastAsia="Calibri"/>
          <w:color w:val="222222"/>
          <w:sz w:val="16"/>
          <w:szCs w:val="16"/>
        </w:rPr>
        <w:t xml:space="preserve">): </w:t>
      </w:r>
      <w:r>
        <w:rPr>
          <w:rFonts w:eastAsia="Calibri"/>
          <w:color w:val="222222"/>
          <w:sz w:val="20"/>
          <w:szCs w:val="20"/>
        </w:rPr>
        <w:t>·</w:t>
      </w:r>
      <w:r>
        <w:rPr>
          <w:rFonts w:eastAsia="Calibri"/>
          <w:color w:val="222222"/>
          <w:sz w:val="14"/>
          <w:szCs w:val="14"/>
        </w:rPr>
        <w:t xml:space="preserve">   </w:t>
      </w:r>
      <w:r>
        <w:rPr>
          <w:rFonts w:eastAsia="Calibri"/>
          <w:color w:val="222222"/>
          <w:sz w:val="14"/>
          <w:szCs w:val="14"/>
        </w:rPr>
        <w:tab/>
      </w:r>
      <w:r>
        <w:rPr>
          <w:rFonts w:eastAsia="Calibri"/>
          <w:color w:val="222222"/>
          <w:sz w:val="16"/>
          <w:szCs w:val="16"/>
        </w:rPr>
        <w:t>Little gull (</w:t>
      </w:r>
      <w:r>
        <w:rPr>
          <w:rFonts w:eastAsia="Calibri"/>
          <w:i/>
          <w:iCs/>
          <w:sz w:val="24"/>
          <w:szCs w:val="24"/>
        </w:rPr>
        <w:t>Hydrocoloeus minutus</w:t>
      </w:r>
      <w:r>
        <w:rPr>
          <w:rFonts w:eastAsia="Calibri"/>
          <w:sz w:val="24"/>
          <w:szCs w:val="24"/>
        </w:rPr>
        <w:t xml:space="preserve">), 90 visiting pairs </w:t>
      </w:r>
      <w:r>
        <w:rPr>
          <w:rFonts w:eastAsia="Calibri"/>
          <w:color w:val="222222"/>
          <w:sz w:val="20"/>
          <w:szCs w:val="20"/>
        </w:rPr>
        <w:t>·</w:t>
      </w:r>
      <w:r>
        <w:rPr>
          <w:rFonts w:eastAsia="Calibri"/>
          <w:color w:val="222222"/>
          <w:sz w:val="14"/>
          <w:szCs w:val="14"/>
        </w:rPr>
        <w:t xml:space="preserve">   </w:t>
      </w:r>
      <w:r>
        <w:rPr>
          <w:rFonts w:eastAsia="Calibri"/>
          <w:color w:val="222222"/>
          <w:sz w:val="14"/>
          <w:szCs w:val="14"/>
        </w:rPr>
        <w:tab/>
      </w:r>
      <w:r>
        <w:rPr>
          <w:rFonts w:eastAsia="Calibri"/>
          <w:color w:val="222222"/>
          <w:sz w:val="16"/>
          <w:szCs w:val="16"/>
        </w:rPr>
        <w:t>Dunlin (</w:t>
      </w:r>
      <w:r>
        <w:rPr>
          <w:rFonts w:eastAsia="Calibri"/>
          <w:i/>
          <w:iCs/>
          <w:sz w:val="24"/>
          <w:szCs w:val="24"/>
        </w:rPr>
        <w:t>Calidris alpina</w:t>
      </w:r>
      <w:r>
        <w:rPr>
          <w:rFonts w:eastAsia="Calibri"/>
          <w:sz w:val="24"/>
          <w:szCs w:val="24"/>
        </w:rPr>
        <w:t xml:space="preserve">), visiting individuals </w:t>
      </w:r>
      <w:r>
        <w:rPr>
          <w:rFonts w:eastAsia="Calibri"/>
          <w:color w:val="222222"/>
          <w:sz w:val="20"/>
          <w:szCs w:val="20"/>
        </w:rPr>
        <w:t>·</w:t>
      </w:r>
      <w:r>
        <w:rPr>
          <w:rFonts w:eastAsia="Calibri"/>
          <w:color w:val="222222"/>
          <w:sz w:val="14"/>
          <w:szCs w:val="14"/>
        </w:rPr>
        <w:t xml:space="preserve">   </w:t>
      </w:r>
      <w:r>
        <w:rPr>
          <w:rFonts w:eastAsia="Calibri"/>
          <w:color w:val="222222"/>
          <w:sz w:val="14"/>
          <w:szCs w:val="14"/>
        </w:rPr>
        <w:tab/>
      </w:r>
      <w:r>
        <w:rPr>
          <w:rFonts w:eastAsia="Calibri"/>
          <w:color w:val="222222"/>
          <w:sz w:val="16"/>
          <w:szCs w:val="16"/>
        </w:rPr>
        <w:t>Goldeneye (</w:t>
      </w:r>
      <w:r>
        <w:rPr>
          <w:rFonts w:eastAsia="Calibri"/>
          <w:i/>
          <w:iCs/>
          <w:sz w:val="24"/>
          <w:szCs w:val="24"/>
        </w:rPr>
        <w:t>Bucephala clangula</w:t>
      </w:r>
      <w:r>
        <w:rPr>
          <w:rFonts w:eastAsia="Calibri"/>
          <w:sz w:val="24"/>
          <w:szCs w:val="24"/>
        </w:rPr>
        <w:t xml:space="preserve">), 5 breeding pairs in 2019 </w:t>
      </w:r>
      <w:r>
        <w:rPr>
          <w:rFonts w:eastAsia="Calibri"/>
          <w:color w:val="222222"/>
          <w:sz w:val="20"/>
          <w:szCs w:val="20"/>
        </w:rPr>
        <w:t>·</w:t>
      </w:r>
      <w:r>
        <w:rPr>
          <w:rFonts w:eastAsia="Calibri"/>
          <w:color w:val="222222"/>
          <w:sz w:val="14"/>
          <w:szCs w:val="14"/>
        </w:rPr>
        <w:t xml:space="preserve">   </w:t>
      </w:r>
      <w:r>
        <w:rPr>
          <w:rFonts w:eastAsia="Calibri"/>
          <w:color w:val="222222"/>
          <w:sz w:val="14"/>
          <w:szCs w:val="14"/>
        </w:rPr>
        <w:tab/>
      </w:r>
      <w:r>
        <w:rPr>
          <w:rFonts w:eastAsia="Calibri"/>
          <w:color w:val="222222"/>
          <w:sz w:val="16"/>
          <w:szCs w:val="16"/>
        </w:rPr>
        <w:t>Teal (</w:t>
      </w:r>
      <w:r>
        <w:rPr>
          <w:rFonts w:eastAsia="Calibri"/>
          <w:i/>
          <w:iCs/>
          <w:sz w:val="24"/>
          <w:szCs w:val="24"/>
        </w:rPr>
        <w:t>Anas recca</w:t>
      </w:r>
      <w:r>
        <w:rPr>
          <w:rFonts w:eastAsia="Calibri"/>
          <w:sz w:val="24"/>
          <w:szCs w:val="24"/>
        </w:rPr>
        <w:t xml:space="preserve">), 5 breeding pairs in 2019 </w:t>
      </w:r>
      <w:r>
        <w:rPr>
          <w:rFonts w:eastAsia="Calibri"/>
          <w:color w:val="222222"/>
          <w:sz w:val="20"/>
          <w:szCs w:val="20"/>
        </w:rPr>
        <w:t>·</w:t>
      </w:r>
      <w:r>
        <w:rPr>
          <w:rFonts w:eastAsia="Calibri"/>
          <w:color w:val="222222"/>
          <w:sz w:val="14"/>
          <w:szCs w:val="14"/>
        </w:rPr>
        <w:t xml:space="preserve">   </w:t>
      </w:r>
      <w:r>
        <w:rPr>
          <w:rFonts w:eastAsia="Calibri"/>
          <w:color w:val="222222"/>
          <w:sz w:val="14"/>
          <w:szCs w:val="14"/>
        </w:rPr>
        <w:tab/>
      </w:r>
      <w:r>
        <w:rPr>
          <w:rFonts w:eastAsia="Calibri"/>
          <w:color w:val="222222"/>
          <w:sz w:val="16"/>
          <w:szCs w:val="16"/>
        </w:rPr>
        <w:t>Common greenshank (</w:t>
      </w:r>
      <w:r>
        <w:rPr>
          <w:rFonts w:eastAsia="Calibri"/>
          <w:i/>
          <w:iCs/>
          <w:sz w:val="24"/>
          <w:szCs w:val="24"/>
        </w:rPr>
        <w:t>Tringa nebularia</w:t>
      </w:r>
      <w:r>
        <w:rPr>
          <w:rFonts w:eastAsia="Calibri"/>
          <w:sz w:val="24"/>
          <w:szCs w:val="24"/>
        </w:rPr>
        <w:t xml:space="preserve">), a nesting couple in 2019 </w:t>
      </w:r>
      <w:r>
        <w:rPr>
          <w:rFonts w:eastAsia="Calibri"/>
          <w:color w:val="222222"/>
          <w:sz w:val="20"/>
          <w:szCs w:val="20"/>
        </w:rPr>
        <w:t>·</w:t>
      </w:r>
      <w:r>
        <w:rPr>
          <w:rFonts w:eastAsia="Calibri"/>
          <w:color w:val="222222"/>
          <w:sz w:val="14"/>
          <w:szCs w:val="14"/>
        </w:rPr>
        <w:t xml:space="preserve">   </w:t>
      </w:r>
      <w:r>
        <w:rPr>
          <w:rFonts w:eastAsia="Calibri"/>
          <w:color w:val="222222"/>
          <w:sz w:val="14"/>
          <w:szCs w:val="14"/>
        </w:rPr>
        <w:tab/>
      </w:r>
      <w:r>
        <w:rPr>
          <w:rFonts w:eastAsia="Calibri"/>
          <w:color w:val="222222"/>
          <w:sz w:val="16"/>
          <w:szCs w:val="16"/>
        </w:rPr>
        <w:t>Meadow pipit (</w:t>
      </w:r>
      <w:r>
        <w:rPr>
          <w:rFonts w:eastAsia="Calibri"/>
          <w:i/>
          <w:iCs/>
          <w:sz w:val="24"/>
          <w:szCs w:val="24"/>
        </w:rPr>
        <w:t>Anthes pratensis</w:t>
      </w:r>
      <w:r>
        <w:rPr>
          <w:rFonts w:eastAsia="Calibri"/>
          <w:sz w:val="24"/>
          <w:szCs w:val="24"/>
        </w:rPr>
        <w:t xml:space="preserve">), 2 nesting couples in 2019 </w:t>
      </w:r>
      <w:r>
        <w:rPr>
          <w:rFonts w:eastAsia="Calibri"/>
          <w:color w:val="222222"/>
          <w:sz w:val="16"/>
          <w:szCs w:val="16"/>
        </w:rPr>
        <w:t xml:space="preserve">In 2021, while staying under the co-management of landowners and other local actors, Salojenneva was formally protected due to the returning biodiversity values. </w:t>
      </w:r>
      <w:r>
        <w:rPr>
          <w:rFonts w:eastAsia="Calibri"/>
          <w:color w:val="222222"/>
          <w:sz w:val="24"/>
          <w:szCs w:val="24"/>
          <w:u w:val="single"/>
        </w:rPr>
        <w:t xml:space="preserve">The rewilding of abandoned and “lost lands” such as Salojenneva can create safe havens and recovering carbon sinks, at a time when emission cuts and economic shifts may prove inadequate for effectively combatting climate change. </w:t>
      </w:r>
      <w:r>
        <w:rPr>
          <w:rFonts w:eastAsia="Calibri"/>
          <w:sz w:val="24"/>
          <w:szCs w:val="24"/>
          <w:highlight w:val="green"/>
          <w:u w:val="single"/>
        </w:rPr>
        <w:t>For the local community, the</w:t>
      </w:r>
      <w:r>
        <w:rPr>
          <w:rFonts w:eastAsia="Calibri"/>
          <w:sz w:val="24"/>
          <w:szCs w:val="24"/>
          <w:u w:val="single"/>
        </w:rPr>
        <w:t xml:space="preserve"> direct </w:t>
      </w:r>
      <w:r>
        <w:rPr>
          <w:rFonts w:eastAsia="Calibri"/>
          <w:sz w:val="24"/>
          <w:szCs w:val="24"/>
          <w:highlight w:val="green"/>
          <w:u w:val="single"/>
        </w:rPr>
        <w:t>benefits are</w:t>
      </w:r>
      <w:r>
        <w:rPr>
          <w:rFonts w:eastAsia="Calibri"/>
          <w:sz w:val="24"/>
          <w:szCs w:val="24"/>
          <w:u w:val="single"/>
        </w:rPr>
        <w:t xml:space="preserve">, in short, </w:t>
      </w:r>
      <w:r>
        <w:rPr>
          <w:rFonts w:eastAsia="Calibri"/>
          <w:sz w:val="24"/>
          <w:szCs w:val="24"/>
          <w:highlight w:val="green"/>
          <w:u w:val="single"/>
        </w:rPr>
        <w:t>improved water quality</w:t>
      </w:r>
      <w:r>
        <w:rPr>
          <w:rFonts w:eastAsia="Calibri"/>
          <w:sz w:val="24"/>
          <w:szCs w:val="24"/>
          <w:u w:val="single"/>
        </w:rPr>
        <w:t xml:space="preserve"> on-site and downstream, providing </w:t>
      </w:r>
      <w:r>
        <w:rPr>
          <w:rFonts w:eastAsia="Calibri"/>
          <w:sz w:val="24"/>
          <w:szCs w:val="24"/>
          <w:highlight w:val="green"/>
          <w:u w:val="single"/>
        </w:rPr>
        <w:t xml:space="preserve">better fishing and aquatic resources, </w:t>
      </w:r>
      <w:r>
        <w:rPr>
          <w:rFonts w:eastAsia="Calibri"/>
          <w:sz w:val="24"/>
          <w:szCs w:val="24"/>
          <w:u w:val="single"/>
        </w:rPr>
        <w:t xml:space="preserve">recreational values, local management, </w:t>
      </w:r>
      <w:r>
        <w:rPr>
          <w:rFonts w:eastAsia="Calibri"/>
          <w:sz w:val="24"/>
          <w:szCs w:val="24"/>
          <w:highlight w:val="green"/>
          <w:u w:val="single"/>
        </w:rPr>
        <w:t>and pride and hunting capacity</w:t>
      </w:r>
      <w:r>
        <w:rPr>
          <w:rFonts w:eastAsia="Calibri"/>
          <w:sz w:val="24"/>
          <w:szCs w:val="24"/>
          <w:u w:val="single"/>
        </w:rPr>
        <w:t xml:space="preserve"> that has returned to the wetland. </w:t>
      </w:r>
      <w:r>
        <w:rPr>
          <w:rFonts w:eastAsia="Calibri"/>
          <w:sz w:val="24"/>
          <w:szCs w:val="24"/>
          <w:highlight w:val="green"/>
          <w:u w:val="single"/>
        </w:rPr>
        <w:t xml:space="preserve">Above all, the </w:t>
      </w:r>
      <w:r>
        <w:rPr>
          <w:rFonts w:eastAsia="Calibri"/>
          <w:sz w:val="24"/>
          <w:szCs w:val="24"/>
          <w:u w:val="single"/>
        </w:rPr>
        <w:t xml:space="preserve">local </w:t>
      </w:r>
      <w:r>
        <w:rPr>
          <w:rFonts w:eastAsia="Calibri"/>
          <w:sz w:val="24"/>
          <w:szCs w:val="24"/>
          <w:highlight w:val="green"/>
          <w:u w:val="single"/>
        </w:rPr>
        <w:t>community</w:t>
      </w:r>
      <w:r>
        <w:rPr>
          <w:rFonts w:eastAsia="Calibri"/>
          <w:sz w:val="24"/>
          <w:szCs w:val="24"/>
          <w:u w:val="single"/>
        </w:rPr>
        <w:t xml:space="preserve"> and members have been able to feel agency (Huntington et al.,</w:t>
      </w:r>
      <w:hyperlink r:id="rId30" w:anchor="ref-CR11">
        <w:r>
          <w:rPr>
            <w:rFonts w:eastAsia="Calibri"/>
            <w:sz w:val="24"/>
            <w:szCs w:val="24"/>
            <w:u w:val="single"/>
          </w:rPr>
          <w:t xml:space="preserve"> </w:t>
        </w:r>
      </w:hyperlink>
      <w:hyperlink r:id="rId31" w:anchor="ref-CR11">
        <w:r>
          <w:rPr>
            <w:rFonts w:eastAsia="Calibri"/>
            <w:color w:val="006699"/>
            <w:sz w:val="24"/>
            <w:szCs w:val="24"/>
          </w:rPr>
          <w:t>2017</w:t>
        </w:r>
      </w:hyperlink>
      <w:r>
        <w:rPr>
          <w:rFonts w:eastAsia="Calibri"/>
          <w:color w:val="222222"/>
          <w:sz w:val="24"/>
          <w:szCs w:val="24"/>
          <w:u w:val="single"/>
        </w:rPr>
        <w:t xml:space="preserve">) in land use decisions. They also </w:t>
      </w:r>
      <w:r>
        <w:rPr>
          <w:rFonts w:eastAsia="Calibri"/>
          <w:sz w:val="24"/>
          <w:szCs w:val="24"/>
          <w:highlight w:val="green"/>
          <w:u w:val="single"/>
        </w:rPr>
        <w:t xml:space="preserve">contribute to restoring the </w:t>
      </w:r>
      <w:r>
        <w:rPr>
          <w:rFonts w:eastAsia="Calibri"/>
          <w:sz w:val="24"/>
          <w:szCs w:val="24"/>
          <w:u w:val="single"/>
        </w:rPr>
        <w:t xml:space="preserve">self-esteem and </w:t>
      </w:r>
      <w:r>
        <w:rPr>
          <w:rFonts w:eastAsia="Calibri"/>
          <w:sz w:val="24"/>
          <w:szCs w:val="24"/>
          <w:highlight w:val="green"/>
          <w:u w:val="single"/>
        </w:rPr>
        <w:t>identity</w:t>
      </w:r>
      <w:r>
        <w:rPr>
          <w:rFonts w:eastAsia="Calibri"/>
          <w:sz w:val="24"/>
          <w:szCs w:val="24"/>
          <w:u w:val="single"/>
        </w:rPr>
        <w:t xml:space="preserve"> as recovering Community-Conserved Area sites </w:t>
      </w:r>
      <w:r>
        <w:rPr>
          <w:rFonts w:eastAsia="Calibri"/>
          <w:sz w:val="24"/>
          <w:szCs w:val="24"/>
          <w:highlight w:val="green"/>
          <w:u w:val="single"/>
        </w:rPr>
        <w:t xml:space="preserve">after decades of top-down </w:t>
      </w:r>
      <w:r>
        <w:rPr>
          <w:rFonts w:eastAsia="Calibri"/>
          <w:sz w:val="24"/>
          <w:szCs w:val="24"/>
          <w:u w:val="single"/>
        </w:rPr>
        <w:t xml:space="preserve">natural resource </w:t>
      </w:r>
      <w:r>
        <w:rPr>
          <w:rFonts w:eastAsia="Calibri"/>
          <w:sz w:val="24"/>
          <w:szCs w:val="24"/>
          <w:highlight w:val="green"/>
          <w:u w:val="single"/>
        </w:rPr>
        <w:t>governance</w:t>
      </w:r>
      <w:r>
        <w:rPr>
          <w:rFonts w:eastAsia="Calibri"/>
          <w:sz w:val="24"/>
          <w:szCs w:val="24"/>
          <w:u w:val="single"/>
        </w:rPr>
        <w:t xml:space="preserve"> (Harvey,</w:t>
      </w:r>
      <w:hyperlink r:id="rId32" w:anchor="ref-CR10">
        <w:r>
          <w:rPr>
            <w:rFonts w:eastAsia="Calibri"/>
            <w:sz w:val="24"/>
            <w:szCs w:val="24"/>
            <w:u w:val="single"/>
          </w:rPr>
          <w:t xml:space="preserve"> </w:t>
        </w:r>
      </w:hyperlink>
      <w:hyperlink r:id="rId33" w:anchor="ref-CR10">
        <w:r>
          <w:rPr>
            <w:rFonts w:eastAsia="Calibri"/>
            <w:color w:val="006699"/>
            <w:sz w:val="24"/>
            <w:szCs w:val="24"/>
          </w:rPr>
          <w:t>1996</w:t>
        </w:r>
      </w:hyperlink>
      <w:r>
        <w:rPr>
          <w:rFonts w:eastAsia="Calibri"/>
          <w:color w:val="222222"/>
          <w:sz w:val="24"/>
          <w:szCs w:val="24"/>
          <w:u w:val="single"/>
        </w:rPr>
        <w:t>).</w:t>
      </w:r>
      <w:r>
        <w:rPr>
          <w:rFonts w:eastAsia="Calibri"/>
          <w:color w:val="222222"/>
          <w:sz w:val="16"/>
          <w:szCs w:val="16"/>
        </w:rPr>
        <w:t xml:space="preserve"> Yet, these”Western” words and concepts may not fully answer a central internal cultural question—</w:t>
      </w:r>
      <w:r>
        <w:rPr>
          <w:rFonts w:eastAsia="Calibri"/>
          <w:i/>
          <w:iCs/>
          <w:sz w:val="24"/>
          <w:szCs w:val="24"/>
        </w:rPr>
        <w:t>what is the identity of these “rewilded” and restored sites?</w:t>
      </w:r>
      <w:r>
        <w:rPr>
          <w:rFonts w:eastAsia="Calibri"/>
          <w:sz w:val="24"/>
          <w:szCs w:val="24"/>
        </w:rPr>
        <w:t xml:space="preserve"> We return to this notion in the end. </w:t>
      </w:r>
      <w:r>
        <w:rPr>
          <w:rFonts w:eastAsia="Calibri"/>
          <w:color w:val="222222"/>
          <w:sz w:val="16"/>
          <w:szCs w:val="16"/>
        </w:rPr>
        <w:t>+++++  If we apply Alexievich’s (</w:t>
      </w:r>
      <w:hyperlink r:id="rId34" w:anchor="ref-CR3">
        <w:r>
          <w:rPr>
            <w:rFonts w:eastAsia="Calibri"/>
            <w:color w:val="006699"/>
            <w:sz w:val="16"/>
            <w:szCs w:val="16"/>
          </w:rPr>
          <w:t>2006</w:t>
        </w:r>
      </w:hyperlink>
      <w:r>
        <w:rPr>
          <w:rFonts w:eastAsia="Calibri"/>
          <w:color w:val="222222"/>
          <w:sz w:val="16"/>
          <w:szCs w:val="16"/>
        </w:rPr>
        <w:t>) and Soudakova’s (</w:t>
      </w:r>
      <w:hyperlink r:id="rId35" w:anchor="ref-CR40">
        <w:r>
          <w:rPr>
            <w:rFonts w:eastAsia="Calibri"/>
            <w:color w:val="006699"/>
            <w:sz w:val="16"/>
            <w:szCs w:val="16"/>
          </w:rPr>
          <w:t>2020</w:t>
        </w:r>
      </w:hyperlink>
      <w:r>
        <w:rPr>
          <w:rFonts w:eastAsia="Calibri"/>
          <w:color w:val="222222"/>
          <w:sz w:val="16"/>
          <w:szCs w:val="16"/>
        </w:rPr>
        <w:t>) thematic approach and solutions to the Vainosjoki river,</w:t>
      </w:r>
      <w:r>
        <w:rPr>
          <w:rFonts w:eastAsia="Calibri"/>
          <w:color w:val="222222"/>
          <w:sz w:val="24"/>
          <w:szCs w:val="24"/>
          <w:u w:val="single"/>
        </w:rPr>
        <w:t xml:space="preserve"> we can see how a few central components of novel solutions emerge as viable vehicles for change. First, Indigenous memory carried the need and action space for over 40 years, from 1968 to 2013, to realize the rewilding of the river as a means of unlocking solutions to environmental problems and climate change challenges. </w:t>
      </w:r>
      <w:r>
        <w:rPr>
          <w:rFonts w:eastAsia="Calibri"/>
          <w:color w:val="222222"/>
          <w:sz w:val="16"/>
          <w:szCs w:val="16"/>
        </w:rPr>
        <w:t xml:space="preserve">Second, the State ignored and dismissed the disruptive and altering actions </w:t>
      </w:r>
      <w:r>
        <w:rPr>
          <w:rFonts w:eastAsia="Calibri"/>
          <w:color w:val="222222"/>
          <w:sz w:val="16"/>
          <w:szCs w:val="16"/>
        </w:rPr>
        <w:lastRenderedPageBreak/>
        <w:t>from the 1970s onwards and paid no heed to changes that were causing problems even in 2013 (lack of water on the stream, loss of high-value salmonids, development of algal blooms, see more in Mustonen and Feodoroff,</w:t>
      </w:r>
      <w:hyperlink r:id="rId36" w:anchor="ref-CR26">
        <w:r>
          <w:rPr>
            <w:rFonts w:eastAsia="Calibri"/>
            <w:color w:val="222222"/>
            <w:sz w:val="16"/>
            <w:szCs w:val="16"/>
          </w:rPr>
          <w:t xml:space="preserve"> </w:t>
        </w:r>
      </w:hyperlink>
      <w:hyperlink r:id="rId37" w:anchor="ref-CR26">
        <w:r>
          <w:rPr>
            <w:rFonts w:eastAsia="Calibri"/>
            <w:color w:val="006699"/>
            <w:sz w:val="24"/>
            <w:szCs w:val="24"/>
          </w:rPr>
          <w:t>2018</w:t>
        </w:r>
      </w:hyperlink>
      <w:r>
        <w:rPr>
          <w:rFonts w:eastAsia="Calibri"/>
          <w:color w:val="222222"/>
          <w:sz w:val="16"/>
          <w:szCs w:val="16"/>
        </w:rPr>
        <w:t>). Ostrom (</w:t>
      </w:r>
      <w:hyperlink r:id="rId38" w:anchor="ref-CR31">
        <w:r>
          <w:rPr>
            <w:rFonts w:eastAsia="Calibri"/>
            <w:color w:val="006699"/>
            <w:sz w:val="24"/>
            <w:szCs w:val="24"/>
          </w:rPr>
          <w:t>2009</w:t>
        </w:r>
      </w:hyperlink>
      <w:r>
        <w:rPr>
          <w:rFonts w:eastAsia="Calibri"/>
          <w:color w:val="222222"/>
          <w:sz w:val="16"/>
          <w:szCs w:val="16"/>
        </w:rPr>
        <w:t xml:space="preserve">) sees this as a not-a-part of the “action arena” of the stakeholder approach. To the state, Vainosjoki was seen as a pristine wilderness. </w:t>
      </w:r>
      <w:r>
        <w:rPr>
          <w:rFonts w:eastAsia="Calibri"/>
          <w:color w:val="222222"/>
          <w:sz w:val="24"/>
          <w:szCs w:val="24"/>
          <w:u w:val="single"/>
        </w:rPr>
        <w:t>By challenging these narratives, new and novel solutions could be found that fit the local cultural and Indigenous framing and produced solutions; and ultimately, most importantly, a life that returned to the stream. In summary, both the Salojenneva peatland and the Vainosjoki river, boreal and sub-Arctic community sites, were heavily altered by state-led extractivism. Decades passed, but the local communities preserved agency (Huntington et al.,</w:t>
      </w:r>
      <w:hyperlink r:id="rId39" w:anchor="ref-CR11">
        <w:r>
          <w:rPr>
            <w:rFonts w:eastAsia="Calibri"/>
            <w:color w:val="222222"/>
            <w:sz w:val="24"/>
            <w:szCs w:val="24"/>
            <w:u w:val="single"/>
          </w:rPr>
          <w:t xml:space="preserve"> </w:t>
        </w:r>
      </w:hyperlink>
      <w:hyperlink r:id="rId40" w:anchor="ref-CR11">
        <w:r>
          <w:rPr>
            <w:rFonts w:eastAsia="Calibri"/>
            <w:color w:val="006699"/>
            <w:sz w:val="24"/>
            <w:szCs w:val="24"/>
          </w:rPr>
          <w:t>2017</w:t>
        </w:r>
      </w:hyperlink>
      <w:r>
        <w:rPr>
          <w:rFonts w:eastAsia="Calibri"/>
          <w:color w:val="222222"/>
          <w:sz w:val="24"/>
          <w:szCs w:val="24"/>
          <w:u w:val="single"/>
        </w:rPr>
        <w:t>) and natural site knowledge (Mustonen,</w:t>
      </w:r>
      <w:hyperlink r:id="rId41" w:anchor="ref-CR28">
        <w:r>
          <w:rPr>
            <w:rFonts w:eastAsia="Calibri"/>
            <w:color w:val="222222"/>
            <w:sz w:val="24"/>
            <w:szCs w:val="24"/>
            <w:u w:val="single"/>
          </w:rPr>
          <w:t xml:space="preserve"> </w:t>
        </w:r>
      </w:hyperlink>
      <w:hyperlink r:id="rId42" w:anchor="ref-CR28">
        <w:r>
          <w:rPr>
            <w:rFonts w:eastAsia="Calibri"/>
            <w:color w:val="006699"/>
            <w:sz w:val="24"/>
            <w:szCs w:val="24"/>
          </w:rPr>
          <w:t>2021</w:t>
        </w:r>
      </w:hyperlink>
      <w:r>
        <w:rPr>
          <w:rFonts w:eastAsia="Calibri"/>
          <w:color w:val="222222"/>
          <w:sz w:val="24"/>
          <w:szCs w:val="24"/>
          <w:u w:val="single"/>
        </w:rPr>
        <w:t>). They acted using restoration and rewilding methods (Perino et al.,</w:t>
      </w:r>
      <w:hyperlink r:id="rId43" w:anchor="ref-CR33">
        <w:r>
          <w:rPr>
            <w:rFonts w:eastAsia="Calibri"/>
            <w:color w:val="222222"/>
            <w:sz w:val="24"/>
            <w:szCs w:val="24"/>
            <w:u w:val="single"/>
          </w:rPr>
          <w:t xml:space="preserve"> </w:t>
        </w:r>
      </w:hyperlink>
      <w:hyperlink r:id="rId44" w:anchor="ref-CR33">
        <w:r>
          <w:rPr>
            <w:rFonts w:eastAsia="Calibri"/>
            <w:color w:val="006699"/>
            <w:sz w:val="24"/>
            <w:szCs w:val="24"/>
          </w:rPr>
          <w:t>2019</w:t>
        </w:r>
      </w:hyperlink>
      <w:r>
        <w:rPr>
          <w:rFonts w:eastAsia="Calibri"/>
          <w:color w:val="222222"/>
          <w:sz w:val="24"/>
          <w:szCs w:val="24"/>
          <w:u w:val="single"/>
        </w:rPr>
        <w:t>) to achieve an ecological renewal. They point to the understanding that to negotiate a new coexistence with rewilded sites to gain a better future local knowledge, agency (Huntington et al.,</w:t>
      </w:r>
      <w:hyperlink r:id="rId45" w:anchor="ref-CR11">
        <w:r>
          <w:rPr>
            <w:rFonts w:eastAsia="Calibri"/>
            <w:color w:val="222222"/>
            <w:sz w:val="24"/>
            <w:szCs w:val="24"/>
            <w:u w:val="single"/>
          </w:rPr>
          <w:t xml:space="preserve"> </w:t>
        </w:r>
      </w:hyperlink>
      <w:hyperlink r:id="rId46" w:anchor="ref-CR11">
        <w:r>
          <w:rPr>
            <w:rFonts w:eastAsia="Calibri"/>
            <w:color w:val="006699"/>
            <w:sz w:val="24"/>
            <w:szCs w:val="24"/>
          </w:rPr>
          <w:t>2017</w:t>
        </w:r>
      </w:hyperlink>
      <w:r>
        <w:rPr>
          <w:rFonts w:eastAsia="Calibri"/>
          <w:color w:val="222222"/>
          <w:sz w:val="24"/>
          <w:szCs w:val="24"/>
          <w:u w:val="single"/>
        </w:rPr>
        <w:t xml:space="preserve">), and memory are central to enabling such actions. </w:t>
      </w:r>
      <w:r>
        <w:rPr>
          <w:rFonts w:eastAsia="Calibri"/>
          <w:color w:val="222222"/>
          <w:sz w:val="16"/>
          <w:szCs w:val="16"/>
        </w:rPr>
        <w:t>The state agencies have accepted the approach, which is the first step in recognizing the analytical stakeholder approach (Ostrom,</w:t>
      </w:r>
      <w:hyperlink r:id="rId47" w:anchor="ref-CR31">
        <w:r>
          <w:rPr>
            <w:rFonts w:eastAsia="Calibri"/>
            <w:color w:val="222222"/>
            <w:sz w:val="16"/>
            <w:szCs w:val="16"/>
          </w:rPr>
          <w:t xml:space="preserve"> </w:t>
        </w:r>
      </w:hyperlink>
      <w:hyperlink r:id="rId48" w:anchor="ref-CR31">
        <w:r>
          <w:rPr>
            <w:rFonts w:eastAsia="Calibri"/>
            <w:color w:val="006699"/>
            <w:sz w:val="24"/>
            <w:szCs w:val="24"/>
          </w:rPr>
          <w:t>2009</w:t>
        </w:r>
      </w:hyperlink>
      <w:r>
        <w:rPr>
          <w:rFonts w:eastAsia="Calibri"/>
          <w:color w:val="222222"/>
          <w:sz w:val="16"/>
          <w:szCs w:val="16"/>
        </w:rPr>
        <w:t>). Both sites are now recovering and demonstrating success in the comeback of species, function, and resilience (Mustonen and Kontkanen,</w:t>
      </w:r>
      <w:hyperlink r:id="rId49" w:anchor="ref-CR27">
        <w:r>
          <w:rPr>
            <w:rFonts w:eastAsia="Calibri"/>
            <w:color w:val="222222"/>
            <w:sz w:val="16"/>
            <w:szCs w:val="16"/>
          </w:rPr>
          <w:t xml:space="preserve"> </w:t>
        </w:r>
      </w:hyperlink>
      <w:hyperlink r:id="rId50" w:anchor="ref-CR27">
        <w:r>
          <w:rPr>
            <w:rFonts w:eastAsia="Calibri"/>
            <w:color w:val="006699"/>
            <w:sz w:val="24"/>
            <w:szCs w:val="24"/>
          </w:rPr>
          <w:t>2019</w:t>
        </w:r>
      </w:hyperlink>
      <w:r>
        <w:rPr>
          <w:rFonts w:eastAsia="Calibri"/>
          <w:color w:val="222222"/>
          <w:sz w:val="16"/>
          <w:szCs w:val="16"/>
        </w:rPr>
        <w:t>; Mustonen,</w:t>
      </w:r>
      <w:hyperlink r:id="rId51" w:anchor="ref-CR28">
        <w:r>
          <w:rPr>
            <w:rFonts w:eastAsia="Calibri"/>
            <w:color w:val="222222"/>
            <w:sz w:val="16"/>
            <w:szCs w:val="16"/>
          </w:rPr>
          <w:t xml:space="preserve"> </w:t>
        </w:r>
      </w:hyperlink>
      <w:hyperlink r:id="rId52" w:anchor="ref-CR28">
        <w:r>
          <w:rPr>
            <w:rFonts w:eastAsia="Calibri"/>
            <w:color w:val="006699"/>
            <w:sz w:val="24"/>
            <w:szCs w:val="24"/>
          </w:rPr>
          <w:t>2021</w:t>
        </w:r>
      </w:hyperlink>
      <w:r>
        <w:rPr>
          <w:rFonts w:eastAsia="Calibri"/>
          <w:color w:val="222222"/>
          <w:sz w:val="16"/>
          <w:szCs w:val="16"/>
        </w:rPr>
        <w:t>). They are both ICCA sites despite not yet being registered in the WDPA (</w:t>
      </w:r>
      <w:hyperlink r:id="rId53" w:anchor="ref-CR44">
        <w:r>
          <w:rPr>
            <w:rFonts w:eastAsia="Calibri"/>
            <w:color w:val="006699"/>
            <w:sz w:val="24"/>
            <w:szCs w:val="24"/>
          </w:rPr>
          <w:t>2020</w:t>
        </w:r>
      </w:hyperlink>
      <w:r>
        <w:rPr>
          <w:rFonts w:eastAsia="Calibri"/>
          <w:color w:val="222222"/>
          <w:sz w:val="16"/>
          <w:szCs w:val="16"/>
        </w:rPr>
        <w:t>). They summarize the prioritization from Alexievich (</w:t>
      </w:r>
      <w:hyperlink r:id="rId54" w:anchor="ref-CR3">
        <w:r>
          <w:rPr>
            <w:rFonts w:eastAsia="Calibri"/>
            <w:color w:val="006699"/>
            <w:sz w:val="24"/>
            <w:szCs w:val="24"/>
          </w:rPr>
          <w:t>2006</w:t>
        </w:r>
      </w:hyperlink>
      <w:r>
        <w:rPr>
          <w:rFonts w:eastAsia="Calibri"/>
          <w:color w:val="222222"/>
          <w:sz w:val="16"/>
          <w:szCs w:val="16"/>
        </w:rPr>
        <w:t>) and Soudakova (</w:t>
      </w:r>
      <w:hyperlink r:id="rId55" w:anchor="ref-CR40">
        <w:r>
          <w:rPr>
            <w:rFonts w:eastAsia="Calibri"/>
            <w:color w:val="006699"/>
            <w:sz w:val="24"/>
            <w:szCs w:val="24"/>
          </w:rPr>
          <w:t>2020</w:t>
        </w:r>
      </w:hyperlink>
      <w:r>
        <w:rPr>
          <w:rFonts w:eastAsia="Calibri"/>
          <w:color w:val="222222"/>
          <w:sz w:val="16"/>
          <w:szCs w:val="16"/>
        </w:rPr>
        <w:t xml:space="preserve">) that new approaches require an understanding, a memory if you will, of the past, to have the capacity to navigate the new present and challenges. ++++++  </w:t>
      </w:r>
      <w:r>
        <w:rPr>
          <w:rFonts w:eastAsia="Calibri"/>
          <w:color w:val="222222"/>
          <w:sz w:val="24"/>
          <w:szCs w:val="24"/>
          <w:u w:val="single"/>
        </w:rPr>
        <w:t>This article has demonstrated two cases as examples of rebuilding traditional minds, memory, land, and health in a complex interrelationship.</w:t>
      </w:r>
      <w:r>
        <w:rPr>
          <w:rFonts w:eastAsia="Calibri"/>
          <w:color w:val="222222"/>
          <w:sz w:val="16"/>
          <w:szCs w:val="16"/>
        </w:rPr>
        <w:t xml:space="preserve"> These actions </w:t>
      </w:r>
      <w:r>
        <w:rPr>
          <w:rFonts w:eastAsia="Calibri"/>
          <w:color w:val="222222"/>
          <w:sz w:val="24"/>
          <w:szCs w:val="24"/>
          <w:u w:val="single"/>
        </w:rPr>
        <w:t xml:space="preserve">rest on the argument that </w:t>
      </w:r>
      <w:r>
        <w:rPr>
          <w:rFonts w:eastAsia="Calibri"/>
          <w:sz w:val="24"/>
          <w:szCs w:val="24"/>
          <w:highlight w:val="green"/>
          <w:u w:val="single"/>
        </w:rPr>
        <w:t>when ecosystems heal, the people living there will also.</w:t>
      </w:r>
      <w:r>
        <w:rPr>
          <w:rFonts w:eastAsia="Calibri"/>
          <w:color w:val="222222"/>
          <w:sz w:val="16"/>
          <w:szCs w:val="16"/>
        </w:rPr>
        <w:t xml:space="preserve"> This points to at least a level of recovery of disrupted ICCAS as a vehicle for reconnecting and re-building socio-ecological systems. </w:t>
      </w:r>
      <w:r>
        <w:rPr>
          <w:rFonts w:eastAsia="Calibri"/>
          <w:color w:val="222222"/>
          <w:sz w:val="24"/>
          <w:szCs w:val="24"/>
          <w:u w:val="single"/>
        </w:rPr>
        <w:t>We can review</w:t>
      </w:r>
      <w:r>
        <w:rPr>
          <w:rFonts w:eastAsia="Calibri"/>
          <w:color w:val="222222"/>
          <w:sz w:val="16"/>
          <w:szCs w:val="16"/>
        </w:rPr>
        <w:t xml:space="preserve"> both the Finnish and the Sámi cases as disrupted ICCAs. They constitute </w:t>
      </w:r>
      <w:r>
        <w:rPr>
          <w:rFonts w:eastAsia="Calibri"/>
          <w:color w:val="222222"/>
          <w:sz w:val="24"/>
          <w:szCs w:val="24"/>
          <w:u w:val="single"/>
        </w:rPr>
        <w:t>essential examples of renewed connections and territories of life</w:t>
      </w:r>
      <w:r>
        <w:rPr>
          <w:rFonts w:eastAsia="Calibri"/>
          <w:color w:val="222222"/>
          <w:sz w:val="16"/>
          <w:szCs w:val="16"/>
        </w:rPr>
        <w:t xml:space="preserve"> for the Sámi </w:t>
      </w:r>
      <w:r>
        <w:rPr>
          <w:rFonts w:eastAsia="Calibri"/>
          <w:color w:val="222222"/>
          <w:sz w:val="24"/>
          <w:szCs w:val="24"/>
          <w:u w:val="single"/>
        </w:rPr>
        <w:t xml:space="preserve">and point to the potential of using rewilding on Indigenous lands as a vehicle for recovery and resurgence. </w:t>
      </w:r>
      <w:r>
        <w:rPr>
          <w:rFonts w:eastAsia="Calibri"/>
          <w:color w:val="222222"/>
          <w:sz w:val="16"/>
          <w:szCs w:val="16"/>
        </w:rPr>
        <w:t>A scientifically and ecologically restored wetland or river is not the original as it developed in the post-Ice Age context of the boreal and the Arctic (see Perino et al. (</w:t>
      </w:r>
      <w:hyperlink r:id="rId56" w:anchor="ref-CR33">
        <w:r>
          <w:rPr>
            <w:rFonts w:eastAsia="Calibri"/>
            <w:color w:val="006699"/>
            <w:sz w:val="24"/>
            <w:szCs w:val="24"/>
          </w:rPr>
          <w:t>2019</w:t>
        </w:r>
      </w:hyperlink>
      <w:r>
        <w:rPr>
          <w:rFonts w:eastAsia="Calibri"/>
          <w:color w:val="222222"/>
          <w:sz w:val="16"/>
          <w:szCs w:val="16"/>
        </w:rPr>
        <w:t xml:space="preserve">) for a discussion on the ecological implications of rewilding). Restoration, especially, is always a form of biomanipulation. In this way, restoring such sites does not seek to return to a previous known or understood phenomenon, rather a restored area is a novel ecosystem following the path of: </w:t>
      </w:r>
      <w:r>
        <w:rPr>
          <w:rFonts w:eastAsia="Calibri"/>
          <w:i/>
          <w:iCs/>
          <w:color w:val="222222"/>
          <w:sz w:val="16"/>
          <w:szCs w:val="16"/>
        </w:rPr>
        <w:t xml:space="preserve">natural state --&gt; degradation by human actions --&gt; novel ecosystem as a restored site </w:t>
      </w:r>
      <w:r>
        <w:rPr>
          <w:rFonts w:eastAsia="Calibri"/>
          <w:color w:val="222222"/>
          <w:sz w:val="16"/>
          <w:szCs w:val="16"/>
        </w:rPr>
        <w:t>(Bonebrake et al.,</w:t>
      </w:r>
      <w:hyperlink r:id="rId57" w:anchor="ref-CR4">
        <w:r>
          <w:rPr>
            <w:rFonts w:eastAsia="Calibri"/>
            <w:color w:val="222222"/>
            <w:sz w:val="16"/>
            <w:szCs w:val="16"/>
          </w:rPr>
          <w:t xml:space="preserve"> </w:t>
        </w:r>
      </w:hyperlink>
      <w:hyperlink r:id="rId58" w:anchor="ref-CR4">
        <w:r>
          <w:rPr>
            <w:rFonts w:eastAsia="Calibri"/>
            <w:color w:val="006699"/>
            <w:sz w:val="24"/>
            <w:szCs w:val="24"/>
          </w:rPr>
          <w:t>2017</w:t>
        </w:r>
      </w:hyperlink>
      <w:r>
        <w:rPr>
          <w:rFonts w:eastAsia="Calibri"/>
          <w:color w:val="222222"/>
          <w:sz w:val="16"/>
          <w:szCs w:val="16"/>
        </w:rPr>
        <w:t>) If we then position the restored and rewilded sites into a cultural perspective and as action arenas (Ostrom,</w:t>
      </w:r>
      <w:hyperlink r:id="rId59" w:anchor="ref-CR31">
        <w:r>
          <w:rPr>
            <w:rFonts w:eastAsia="Calibri"/>
            <w:color w:val="222222"/>
            <w:sz w:val="16"/>
            <w:szCs w:val="16"/>
          </w:rPr>
          <w:t xml:space="preserve"> </w:t>
        </w:r>
      </w:hyperlink>
      <w:hyperlink r:id="rId60" w:anchor="ref-CR31">
        <w:r>
          <w:rPr>
            <w:rFonts w:eastAsia="Calibri"/>
            <w:color w:val="006699"/>
            <w:sz w:val="16"/>
            <w:szCs w:val="16"/>
          </w:rPr>
          <w:t>2009</w:t>
        </w:r>
      </w:hyperlink>
      <w:r>
        <w:rPr>
          <w:rFonts w:eastAsia="Calibri"/>
          <w:color w:val="222222"/>
          <w:sz w:val="16"/>
          <w:szCs w:val="16"/>
        </w:rPr>
        <w:t>), an even more complex context emerges. As Feodoroff (</w:t>
      </w:r>
      <w:hyperlink r:id="rId61" w:anchor="ref-CR9">
        <w:r>
          <w:rPr>
            <w:rFonts w:eastAsia="Calibri"/>
            <w:color w:val="006699"/>
            <w:sz w:val="16"/>
            <w:szCs w:val="16"/>
          </w:rPr>
          <w:t>2021</w:t>
        </w:r>
      </w:hyperlink>
      <w:r>
        <w:rPr>
          <w:rFonts w:eastAsia="Calibri"/>
          <w:color w:val="222222"/>
          <w:sz w:val="16"/>
          <w:szCs w:val="16"/>
        </w:rPr>
        <w:t>) states: “Indigenous knowledge and Western Science offer us concepts and possibilities to reflect on those changes that the waters in our bodies have known and reminded us of what has happened already much earlier. Changes in temperature, pain, and the gradual passing of pain, waves, and intrusions within our bodies are knowledges that are difficult to communicate. It seems that women are especially more sensitive to receiving messages from their home environments. And, thus, our Indigenous conservation work ends up being no longer a choice but a bodily commitment.” Documenting such rewilding work in two locations, several new openings emerge, which may put them further into action arenas (Ostrom,</w:t>
      </w:r>
      <w:hyperlink r:id="rId62" w:anchor="ref-CR31">
        <w:r>
          <w:rPr>
            <w:rFonts w:eastAsia="Calibri"/>
            <w:color w:val="222222"/>
            <w:sz w:val="16"/>
            <w:szCs w:val="16"/>
          </w:rPr>
          <w:t xml:space="preserve"> </w:t>
        </w:r>
      </w:hyperlink>
      <w:hyperlink r:id="rId63" w:anchor="ref-CR31">
        <w:r>
          <w:rPr>
            <w:rFonts w:eastAsia="Calibri"/>
            <w:color w:val="006699"/>
            <w:sz w:val="24"/>
            <w:szCs w:val="24"/>
          </w:rPr>
          <w:t>2009</w:t>
        </w:r>
      </w:hyperlink>
      <w:r>
        <w:rPr>
          <w:rFonts w:eastAsia="Calibri"/>
          <w:color w:val="222222"/>
          <w:sz w:val="16"/>
          <w:szCs w:val="16"/>
        </w:rPr>
        <w:t xml:space="preserve">). Future questions may include the following: </w:t>
      </w:r>
      <w:r>
        <w:rPr>
          <w:rFonts w:eastAsia="Calibri"/>
          <w:color w:val="222222"/>
          <w:sz w:val="20"/>
          <w:szCs w:val="20"/>
        </w:rPr>
        <w:t>·</w:t>
      </w:r>
      <w:r>
        <w:rPr>
          <w:rFonts w:eastAsia="Calibri"/>
          <w:color w:val="222222"/>
          <w:sz w:val="14"/>
          <w:szCs w:val="14"/>
        </w:rPr>
        <w:t xml:space="preserve">   </w:t>
      </w:r>
      <w:r>
        <w:rPr>
          <w:rFonts w:eastAsia="Calibri"/>
          <w:color w:val="222222"/>
          <w:sz w:val="14"/>
          <w:szCs w:val="14"/>
        </w:rPr>
        <w:tab/>
      </w:r>
      <w:r>
        <w:rPr>
          <w:rFonts w:eastAsia="Calibri"/>
          <w:i/>
          <w:iCs/>
          <w:color w:val="222222"/>
          <w:sz w:val="16"/>
          <w:szCs w:val="16"/>
        </w:rPr>
        <w:t xml:space="preserve">Who are you? What is your identity? </w:t>
      </w:r>
      <w:r>
        <w:rPr>
          <w:rFonts w:eastAsia="Calibri"/>
          <w:color w:val="222222"/>
          <w:sz w:val="20"/>
          <w:szCs w:val="20"/>
        </w:rPr>
        <w:t>·</w:t>
      </w:r>
      <w:r>
        <w:rPr>
          <w:rFonts w:eastAsia="Calibri"/>
          <w:color w:val="222222"/>
          <w:sz w:val="14"/>
          <w:szCs w:val="14"/>
        </w:rPr>
        <w:t xml:space="preserve">   </w:t>
      </w:r>
      <w:r>
        <w:rPr>
          <w:rFonts w:eastAsia="Calibri"/>
          <w:color w:val="222222"/>
          <w:sz w:val="14"/>
          <w:szCs w:val="14"/>
        </w:rPr>
        <w:tab/>
      </w:r>
      <w:r>
        <w:rPr>
          <w:rFonts w:eastAsia="Calibri"/>
          <w:i/>
          <w:iCs/>
          <w:color w:val="222222"/>
          <w:sz w:val="16"/>
          <w:szCs w:val="16"/>
        </w:rPr>
        <w:t xml:space="preserve">How can we co-exist with you? </w:t>
      </w:r>
      <w:r>
        <w:rPr>
          <w:rFonts w:eastAsia="Calibri"/>
          <w:color w:val="222222"/>
          <w:sz w:val="20"/>
          <w:szCs w:val="20"/>
        </w:rPr>
        <w:t>·</w:t>
      </w:r>
      <w:r>
        <w:rPr>
          <w:rFonts w:eastAsia="Calibri"/>
          <w:color w:val="222222"/>
          <w:sz w:val="14"/>
          <w:szCs w:val="14"/>
        </w:rPr>
        <w:t xml:space="preserve">   </w:t>
      </w:r>
      <w:r>
        <w:rPr>
          <w:rFonts w:eastAsia="Calibri"/>
          <w:color w:val="222222"/>
          <w:sz w:val="14"/>
          <w:szCs w:val="14"/>
        </w:rPr>
        <w:tab/>
      </w:r>
      <w:r>
        <w:rPr>
          <w:rFonts w:eastAsia="Calibri"/>
          <w:i/>
          <w:iCs/>
          <w:color w:val="222222"/>
          <w:sz w:val="16"/>
          <w:szCs w:val="16"/>
        </w:rPr>
        <w:t xml:space="preserve">How can we ever apologize or provide redress for the past damages? </w:t>
      </w:r>
      <w:r>
        <w:rPr>
          <w:rFonts w:eastAsia="Calibri"/>
          <w:color w:val="222222"/>
          <w:sz w:val="20"/>
          <w:szCs w:val="20"/>
        </w:rPr>
        <w:t>·</w:t>
      </w:r>
      <w:r>
        <w:rPr>
          <w:rFonts w:eastAsia="Calibri"/>
          <w:color w:val="222222"/>
          <w:sz w:val="14"/>
          <w:szCs w:val="14"/>
        </w:rPr>
        <w:t xml:space="preserve">   </w:t>
      </w:r>
      <w:r>
        <w:rPr>
          <w:rFonts w:eastAsia="Calibri"/>
          <w:color w:val="222222"/>
          <w:sz w:val="14"/>
          <w:szCs w:val="14"/>
        </w:rPr>
        <w:tab/>
      </w:r>
      <w:r>
        <w:rPr>
          <w:rFonts w:eastAsia="Calibri"/>
          <w:i/>
          <w:iCs/>
          <w:color w:val="222222"/>
          <w:sz w:val="16"/>
          <w:szCs w:val="16"/>
        </w:rPr>
        <w:t xml:space="preserve">How can we co-exist in this tumultuous time? </w:t>
      </w:r>
      <w:r>
        <w:rPr>
          <w:rFonts w:eastAsia="Calibri"/>
          <w:color w:val="222222"/>
          <w:sz w:val="20"/>
          <w:szCs w:val="20"/>
        </w:rPr>
        <w:t>·</w:t>
      </w:r>
      <w:r>
        <w:rPr>
          <w:rFonts w:eastAsia="Calibri"/>
          <w:color w:val="222222"/>
          <w:sz w:val="14"/>
          <w:szCs w:val="14"/>
        </w:rPr>
        <w:t xml:space="preserve">   </w:t>
      </w:r>
      <w:r>
        <w:rPr>
          <w:rFonts w:eastAsia="Calibri"/>
          <w:color w:val="222222"/>
          <w:sz w:val="14"/>
          <w:szCs w:val="14"/>
        </w:rPr>
        <w:tab/>
      </w:r>
      <w:r>
        <w:rPr>
          <w:rFonts w:eastAsia="Calibri"/>
          <w:i/>
          <w:iCs/>
          <w:color w:val="222222"/>
          <w:sz w:val="16"/>
          <w:szCs w:val="16"/>
        </w:rPr>
        <w:t xml:space="preserve">Should we “manage” these spaces or stay away and not intervene? </w:t>
      </w:r>
      <w:r>
        <w:rPr>
          <w:rFonts w:eastAsia="Calibri"/>
          <w:color w:val="222222"/>
          <w:sz w:val="16"/>
          <w:szCs w:val="16"/>
        </w:rPr>
        <w:t>While some of these questions will be answered and discovered only in the local context, they point to the deep and multi-layered elements of converting disrupted ICCAs back to health. Lippard (</w:t>
      </w:r>
      <w:hyperlink r:id="rId64" w:anchor="ref-CR22">
        <w:r>
          <w:rPr>
            <w:rFonts w:eastAsia="Calibri"/>
            <w:color w:val="006699"/>
            <w:sz w:val="24"/>
            <w:szCs w:val="24"/>
          </w:rPr>
          <w:t>1983</w:t>
        </w:r>
      </w:hyperlink>
      <w:r>
        <w:rPr>
          <w:rFonts w:eastAsia="Calibri"/>
          <w:color w:val="222222"/>
          <w:sz w:val="16"/>
          <w:szCs w:val="16"/>
        </w:rPr>
        <w:t xml:space="preserve">) provides in her breakthrough work the need and appreciation of artists, marginal and creative approaches to solving wicked environmental problems in a similar way. Therefore, </w:t>
      </w:r>
      <w:r>
        <w:rPr>
          <w:rFonts w:eastAsia="Calibri"/>
          <w:color w:val="222222"/>
          <w:sz w:val="24"/>
          <w:szCs w:val="24"/>
          <w:u w:val="single"/>
        </w:rPr>
        <w:t xml:space="preserve">a transfer into the rewilding programme implies that </w:t>
      </w:r>
      <w:r>
        <w:rPr>
          <w:rFonts w:eastAsia="Calibri"/>
          <w:sz w:val="24"/>
          <w:szCs w:val="24"/>
          <w:u w:val="single"/>
        </w:rPr>
        <w:t>there is a very significant symbolic environmental justice act in addition to ecological restoration.</w:t>
      </w:r>
      <w:r>
        <w:rPr>
          <w:rFonts w:eastAsia="Calibri"/>
          <w:color w:val="222222"/>
          <w:sz w:val="16"/>
          <w:szCs w:val="16"/>
        </w:rPr>
        <w:t xml:space="preserve"> After 400 years of outside ownership, action arena (Ostrom,</w:t>
      </w:r>
      <w:hyperlink r:id="rId65" w:anchor="ref-CR31">
        <w:r>
          <w:rPr>
            <w:rFonts w:eastAsia="Calibri"/>
            <w:color w:val="222222"/>
            <w:sz w:val="16"/>
            <w:szCs w:val="16"/>
          </w:rPr>
          <w:t xml:space="preserve"> </w:t>
        </w:r>
      </w:hyperlink>
      <w:hyperlink r:id="rId66" w:anchor="ref-CR31">
        <w:r>
          <w:rPr>
            <w:rFonts w:eastAsia="Calibri"/>
            <w:color w:val="006699"/>
            <w:sz w:val="24"/>
            <w:szCs w:val="24"/>
          </w:rPr>
          <w:t>2009</w:t>
        </w:r>
      </w:hyperlink>
      <w:r>
        <w:rPr>
          <w:rFonts w:eastAsia="Calibri"/>
          <w:color w:val="222222"/>
          <w:sz w:val="16"/>
          <w:szCs w:val="16"/>
        </w:rPr>
        <w:t xml:space="preserve">), and governance, the Salojenneva wetland is emerging as one of the first reborn </w:t>
      </w:r>
      <w:r>
        <w:rPr>
          <w:rFonts w:eastAsia="Calibri"/>
          <w:i/>
          <w:iCs/>
          <w:sz w:val="24"/>
          <w:szCs w:val="24"/>
        </w:rPr>
        <w:t>erämaa</w:t>
      </w:r>
      <w:r>
        <w:rPr>
          <w:rFonts w:eastAsia="Calibri"/>
          <w:sz w:val="24"/>
          <w:szCs w:val="24"/>
        </w:rPr>
        <w:t xml:space="preserve"> lands. It was also formally protected in 2021 as a nature conservation area due to the comeback of bird life post-rewilding. Therefore, the Landscape Rewilding Programme contains </w:t>
      </w:r>
      <w:r>
        <w:rPr>
          <w:rFonts w:eastAsia="Calibri"/>
          <w:color w:val="222222"/>
          <w:sz w:val="24"/>
          <w:szCs w:val="24"/>
          <w:u w:val="single"/>
        </w:rPr>
        <w:t>a vital element of social justice and operationalizes the recognition of rights and governance</w:t>
      </w:r>
      <w:r>
        <w:rPr>
          <w:rFonts w:eastAsia="Calibri"/>
          <w:sz w:val="24"/>
          <w:szCs w:val="24"/>
          <w:u w:val="single"/>
        </w:rPr>
        <w:t xml:space="preserve">, as called for at the international level. It also confronts a new symbiotic </w:t>
      </w:r>
      <w:r>
        <w:rPr>
          <w:rFonts w:eastAsia="Calibri"/>
          <w:sz w:val="24"/>
          <w:szCs w:val="24"/>
          <w:u w:val="single"/>
        </w:rPr>
        <w:lastRenderedPageBreak/>
        <w:t xml:space="preserve">relationship between people and their natural surroundings. </w:t>
      </w:r>
      <w:r>
        <w:rPr>
          <w:rFonts w:eastAsia="Calibri"/>
          <w:color w:val="222222"/>
          <w:sz w:val="16"/>
          <w:szCs w:val="16"/>
        </w:rPr>
        <w:t xml:space="preserve">Lastly, </w:t>
      </w:r>
      <w:r>
        <w:rPr>
          <w:rFonts w:eastAsia="Calibri"/>
          <w:color w:val="222222"/>
          <w:sz w:val="24"/>
          <w:szCs w:val="24"/>
          <w:u w:val="single"/>
        </w:rPr>
        <w:t>we need to address the issue of degraded lands, driven and sped up by land abandonment and urbanization</w:t>
      </w:r>
      <w:r>
        <w:rPr>
          <w:rFonts w:eastAsia="Calibri"/>
          <w:color w:val="222222"/>
          <w:sz w:val="16"/>
          <w:szCs w:val="16"/>
        </w:rPr>
        <w:t xml:space="preserve">. These can often be considered disrupted ICCAs. </w:t>
      </w:r>
      <w:r>
        <w:rPr>
          <w:rFonts w:eastAsia="Calibri"/>
          <w:color w:val="222222"/>
          <w:sz w:val="24"/>
          <w:szCs w:val="24"/>
          <w:u w:val="single"/>
        </w:rPr>
        <w:t xml:space="preserve">The restoration and rewilding of these sites are </w:t>
      </w:r>
      <w:r>
        <w:rPr>
          <w:rFonts w:eastAsia="Calibri"/>
          <w:sz w:val="24"/>
          <w:szCs w:val="24"/>
          <w:u w:val="single"/>
        </w:rPr>
        <w:t xml:space="preserve">essential because the proposed emission cuts will not be sufficient to avert the climate crisis, as the Glasgow COP demonstrated meaningfully. </w:t>
      </w:r>
      <w:r>
        <w:rPr>
          <w:rFonts w:eastAsia="Calibri"/>
          <w:color w:val="222222"/>
          <w:sz w:val="16"/>
          <w:szCs w:val="16"/>
        </w:rPr>
        <w:t xml:space="preserve">There is no denying that </w:t>
      </w:r>
      <w:r>
        <w:rPr>
          <w:rFonts w:eastAsia="Calibri"/>
          <w:color w:val="222222"/>
          <w:sz w:val="24"/>
          <w:szCs w:val="24"/>
          <w:u w:val="single"/>
        </w:rPr>
        <w:t>we are witnessing one of the most turbulent eras for humanity</w:t>
      </w:r>
      <w:r>
        <w:rPr>
          <w:rFonts w:eastAsia="Calibri"/>
          <w:color w:val="222222"/>
          <w:sz w:val="16"/>
          <w:szCs w:val="16"/>
        </w:rPr>
        <w:t xml:space="preserve">. </w:t>
      </w:r>
      <w:r>
        <w:rPr>
          <w:rFonts w:eastAsia="Calibri"/>
          <w:color w:val="222222"/>
          <w:sz w:val="24"/>
          <w:szCs w:val="24"/>
          <w:u w:val="single"/>
        </w:rPr>
        <w:t xml:space="preserve">Responses and actions need to be equally wise, and “deep”, and </w:t>
      </w:r>
      <w:r>
        <w:rPr>
          <w:rFonts w:eastAsia="Calibri"/>
          <w:sz w:val="24"/>
          <w:szCs w:val="24"/>
          <w:u w:val="single"/>
        </w:rPr>
        <w:t>address the multiple wrongs that have taken place against people and nature herself. We would also need to find ways of reintegrating the people who have been left out of the action arena (Ostrom,</w:t>
      </w:r>
      <w:hyperlink r:id="rId67" w:anchor="ref-CR31">
        <w:r>
          <w:rPr>
            <w:rFonts w:eastAsia="Calibri"/>
            <w:sz w:val="24"/>
            <w:szCs w:val="24"/>
            <w:u w:val="single"/>
          </w:rPr>
          <w:t xml:space="preserve"> </w:t>
        </w:r>
      </w:hyperlink>
      <w:hyperlink r:id="rId68" w:anchor="ref-CR31">
        <w:r>
          <w:rPr>
            <w:rFonts w:eastAsia="Calibri"/>
            <w:color w:val="006699"/>
            <w:sz w:val="24"/>
            <w:szCs w:val="24"/>
          </w:rPr>
          <w:t>2009</w:t>
        </w:r>
      </w:hyperlink>
      <w:r>
        <w:rPr>
          <w:rFonts w:eastAsia="Calibri"/>
          <w:color w:val="222222"/>
          <w:sz w:val="24"/>
          <w:szCs w:val="24"/>
          <w:u w:val="single"/>
        </w:rPr>
        <w:t xml:space="preserve">). </w:t>
      </w:r>
      <w:r>
        <w:rPr>
          <w:rFonts w:eastAsia="Calibri"/>
          <w:color w:val="222222"/>
          <w:sz w:val="16"/>
          <w:szCs w:val="16"/>
        </w:rPr>
        <w:t>As discussed above, c</w:t>
      </w:r>
      <w:r>
        <w:rPr>
          <w:rFonts w:eastAsia="Calibri"/>
          <w:color w:val="222222"/>
          <w:sz w:val="24"/>
          <w:szCs w:val="24"/>
          <w:u w:val="single"/>
        </w:rPr>
        <w:t>urrent planetary shifts and species redistribution require us to rethink nature conservation from the viewpoint of forming novel ecosystems and about issues of historical equity</w:t>
      </w:r>
      <w:r>
        <w:rPr>
          <w:rFonts w:eastAsia="Calibri"/>
          <w:color w:val="222222"/>
          <w:sz w:val="16"/>
          <w:szCs w:val="16"/>
        </w:rPr>
        <w:t xml:space="preserve"> (Mustonen and Feodoroff,</w:t>
      </w:r>
      <w:hyperlink r:id="rId69" w:anchor="ref-CR26">
        <w:r>
          <w:rPr>
            <w:rFonts w:eastAsia="Calibri"/>
            <w:color w:val="222222"/>
            <w:sz w:val="16"/>
            <w:szCs w:val="16"/>
          </w:rPr>
          <w:t xml:space="preserve"> </w:t>
        </w:r>
      </w:hyperlink>
      <w:hyperlink r:id="rId70" w:anchor="ref-CR26">
        <w:r>
          <w:rPr>
            <w:rFonts w:eastAsia="Calibri"/>
            <w:color w:val="006699"/>
            <w:sz w:val="24"/>
            <w:szCs w:val="24"/>
          </w:rPr>
          <w:t>2018</w:t>
        </w:r>
      </w:hyperlink>
      <w:r>
        <w:rPr>
          <w:rFonts w:eastAsia="Calibri"/>
          <w:color w:val="222222"/>
          <w:sz w:val="16"/>
          <w:szCs w:val="16"/>
        </w:rPr>
        <w:t xml:space="preserve">). In particular, </w:t>
      </w:r>
      <w:r>
        <w:rPr>
          <w:rFonts w:eastAsia="Calibri"/>
          <w:color w:val="222222"/>
          <w:sz w:val="24"/>
          <w:szCs w:val="24"/>
          <w:u w:val="single"/>
        </w:rPr>
        <w:t>this reorientation needs to establish remedies for the historical errors of mainstream societies that promoted nature conservation for their own benefit</w:t>
      </w:r>
      <w:r>
        <w:rPr>
          <w:rFonts w:eastAsia="Calibri"/>
          <w:color w:val="222222"/>
          <w:sz w:val="16"/>
          <w:szCs w:val="16"/>
        </w:rPr>
        <w:t xml:space="preserve"> and assumed governance of these areas </w:t>
      </w:r>
      <w:r>
        <w:rPr>
          <w:rFonts w:eastAsia="Calibri"/>
          <w:color w:val="222222"/>
          <w:sz w:val="24"/>
          <w:szCs w:val="24"/>
          <w:u w:val="single"/>
        </w:rPr>
        <w:t xml:space="preserve">at the expense of Indigenous societies and without incorporating local governance systems and traditional practices </w:t>
      </w:r>
      <w:r>
        <w:rPr>
          <w:rFonts w:eastAsia="Calibri"/>
          <w:color w:val="222222"/>
          <w:sz w:val="16"/>
          <w:szCs w:val="16"/>
        </w:rPr>
        <w:t>(Farvar et al.,</w:t>
      </w:r>
      <w:hyperlink r:id="rId71" w:anchor="ref-CR8">
        <w:r>
          <w:rPr>
            <w:rFonts w:eastAsia="Calibri"/>
            <w:color w:val="222222"/>
            <w:sz w:val="16"/>
            <w:szCs w:val="16"/>
          </w:rPr>
          <w:t xml:space="preserve"> </w:t>
        </w:r>
      </w:hyperlink>
      <w:hyperlink r:id="rId72" w:anchor="ref-CR8">
        <w:r>
          <w:rPr>
            <w:rFonts w:eastAsia="Calibri"/>
            <w:color w:val="006699"/>
            <w:sz w:val="24"/>
            <w:szCs w:val="24"/>
          </w:rPr>
          <w:t>2018</w:t>
        </w:r>
      </w:hyperlink>
      <w:r>
        <w:rPr>
          <w:rFonts w:eastAsia="Calibri"/>
          <w:color w:val="222222"/>
          <w:sz w:val="16"/>
          <w:szCs w:val="16"/>
        </w:rPr>
        <w:t>; Kelleher,</w:t>
      </w:r>
      <w:hyperlink r:id="rId73" w:anchor="ref-CR13">
        <w:r>
          <w:rPr>
            <w:rFonts w:eastAsia="Calibri"/>
            <w:color w:val="222222"/>
            <w:sz w:val="16"/>
            <w:szCs w:val="16"/>
          </w:rPr>
          <w:t xml:space="preserve"> </w:t>
        </w:r>
      </w:hyperlink>
      <w:hyperlink r:id="rId74" w:anchor="ref-CR13">
        <w:r>
          <w:rPr>
            <w:rFonts w:eastAsia="Calibri"/>
            <w:color w:val="006699"/>
            <w:sz w:val="24"/>
            <w:szCs w:val="24"/>
          </w:rPr>
          <w:t>2018</w:t>
        </w:r>
      </w:hyperlink>
      <w:r>
        <w:rPr>
          <w:rFonts w:eastAsia="Calibri"/>
          <w:color w:val="222222"/>
          <w:sz w:val="16"/>
          <w:szCs w:val="16"/>
        </w:rPr>
        <w:t xml:space="preserve">). </w:t>
      </w:r>
      <w:r>
        <w:rPr>
          <w:rFonts w:eastAsia="Calibri"/>
          <w:color w:val="222222"/>
          <w:sz w:val="24"/>
          <w:szCs w:val="24"/>
          <w:u w:val="single"/>
        </w:rPr>
        <w:t>Our cases presented above offer distinctly “endemic” solutions to be reintegrated into the action arena</w:t>
      </w:r>
      <w:r>
        <w:rPr>
          <w:rFonts w:eastAsia="Calibri"/>
          <w:color w:val="222222"/>
          <w:sz w:val="16"/>
          <w:szCs w:val="16"/>
        </w:rPr>
        <w:t xml:space="preserve"> (Ostrom,</w:t>
      </w:r>
      <w:hyperlink r:id="rId75" w:anchor="ref-CR31">
        <w:r>
          <w:rPr>
            <w:rFonts w:eastAsia="Calibri"/>
            <w:color w:val="222222"/>
            <w:sz w:val="16"/>
            <w:szCs w:val="16"/>
          </w:rPr>
          <w:t xml:space="preserve"> </w:t>
        </w:r>
      </w:hyperlink>
      <w:hyperlink r:id="rId76" w:anchor="ref-CR31">
        <w:r>
          <w:rPr>
            <w:rFonts w:eastAsia="Calibri"/>
            <w:color w:val="006699"/>
            <w:sz w:val="24"/>
            <w:szCs w:val="24"/>
          </w:rPr>
          <w:t>2009</w:t>
        </w:r>
      </w:hyperlink>
      <w:r>
        <w:rPr>
          <w:rFonts w:eastAsia="Calibri"/>
          <w:color w:val="222222"/>
          <w:sz w:val="16"/>
          <w:szCs w:val="16"/>
        </w:rPr>
        <w:t xml:space="preserve">). Further, if recognized as ICCAs globally, if the custodian communities wish, they will count towards Finland’s meeting their Aichi Target 11 and the post-2020 Global Biodiversity Framework targets, which are widely expected to increase in ambition. </w:t>
      </w:r>
      <w:r>
        <w:rPr>
          <w:rFonts w:eastAsia="Calibri"/>
          <w:color w:val="222222"/>
          <w:sz w:val="24"/>
          <w:szCs w:val="24"/>
          <w:u w:val="single"/>
        </w:rPr>
        <w:t xml:space="preserve">The article has demonstrated that a reformative science-Indigenous-rewilding interface is possible. The cases point to four options for nature conservation approaches that may address the conservation of biodiversity, social justice issues, and recognize the rights and governance systems of local actors such as indigenous peoples and local communities. </w:t>
      </w:r>
      <w:r>
        <w:rPr>
          <w:rFonts w:eastAsia="Calibri"/>
          <w:color w:val="222222"/>
          <w:sz w:val="16"/>
          <w:szCs w:val="16"/>
        </w:rPr>
        <w:t xml:space="preserve">The Finnish </w:t>
      </w:r>
      <w:r>
        <w:rPr>
          <w:rFonts w:eastAsia="Calibri"/>
          <w:i/>
          <w:iCs/>
          <w:sz w:val="24"/>
          <w:szCs w:val="24"/>
        </w:rPr>
        <w:t>erämaa</w:t>
      </w:r>
      <w:r>
        <w:rPr>
          <w:rFonts w:eastAsia="Calibri"/>
          <w:sz w:val="24"/>
          <w:szCs w:val="24"/>
        </w:rPr>
        <w:t xml:space="preserve"> territories, as illustrated, have the potential to be a model for a renewed dynamic approach, as they allowed for sustainable use and management that led to positive outcomes for both the natural environment and people. </w:t>
      </w:r>
      <w:r>
        <w:rPr>
          <w:rFonts w:eastAsia="Calibri"/>
          <w:color w:val="222222"/>
          <w:sz w:val="24"/>
          <w:szCs w:val="24"/>
          <w:u w:val="single"/>
        </w:rPr>
        <w:t xml:space="preserve">This historical perspective offers an example of bottom-up and customary governance systems that still resonate today. </w:t>
      </w:r>
      <w:r>
        <w:rPr>
          <w:rFonts w:eastAsia="Calibri"/>
          <w:color w:val="222222"/>
          <w:sz w:val="16"/>
          <w:szCs w:val="16"/>
        </w:rPr>
        <w:t xml:space="preserve">Sami </w:t>
      </w:r>
      <w:r>
        <w:rPr>
          <w:rFonts w:eastAsia="Calibri"/>
          <w:i/>
          <w:iCs/>
          <w:sz w:val="24"/>
          <w:szCs w:val="24"/>
        </w:rPr>
        <w:t xml:space="preserve">siidas </w:t>
      </w:r>
      <w:r>
        <w:rPr>
          <w:rFonts w:eastAsia="Calibri"/>
          <w:sz w:val="24"/>
          <w:szCs w:val="24"/>
        </w:rPr>
        <w:t xml:space="preserve">can still be traced back to their historical roots. </w:t>
      </w:r>
      <w:r>
        <w:rPr>
          <w:rFonts w:eastAsia="Calibri"/>
          <w:color w:val="222222"/>
          <w:sz w:val="24"/>
          <w:szCs w:val="24"/>
          <w:u w:val="single"/>
        </w:rPr>
        <w:t>They can</w:t>
      </w:r>
      <w:r>
        <w:rPr>
          <w:rFonts w:eastAsia="Calibri"/>
          <w:color w:val="222222"/>
          <w:sz w:val="16"/>
          <w:szCs w:val="16"/>
        </w:rPr>
        <w:t xml:space="preserve">, in some ways, as the </w:t>
      </w:r>
      <w:r>
        <w:rPr>
          <w:rFonts w:eastAsia="Calibri"/>
          <w:i/>
          <w:iCs/>
          <w:sz w:val="24"/>
          <w:szCs w:val="24"/>
        </w:rPr>
        <w:t>erämaa</w:t>
      </w:r>
      <w:r>
        <w:rPr>
          <w:rFonts w:eastAsia="Calibri"/>
          <w:sz w:val="24"/>
          <w:szCs w:val="24"/>
        </w:rPr>
        <w:t xml:space="preserve"> territories,</w:t>
      </w:r>
      <w:r>
        <w:rPr>
          <w:rFonts w:eastAsia="Calibri"/>
          <w:color w:val="222222"/>
          <w:sz w:val="24"/>
          <w:szCs w:val="24"/>
          <w:u w:val="single"/>
        </w:rPr>
        <w:t xml:space="preserve"> constitute a framework for Indigenous and community rights, the rebuilding of governance, and rewilding</w:t>
      </w:r>
      <w:r>
        <w:rPr>
          <w:rFonts w:eastAsia="Calibri"/>
          <w:color w:val="222222"/>
          <w:sz w:val="16"/>
          <w:szCs w:val="16"/>
        </w:rPr>
        <w:t xml:space="preserve">. The unbroken family engagements in some parts of Sápmi, the Sámi homeland, serve as a mechanism for this. In the Sámi context, ICCA sites may be as wide as the whole former </w:t>
      </w:r>
      <w:r>
        <w:rPr>
          <w:rFonts w:eastAsia="Calibri"/>
          <w:i/>
          <w:iCs/>
          <w:sz w:val="24"/>
          <w:szCs w:val="24"/>
        </w:rPr>
        <w:t xml:space="preserve">siida </w:t>
      </w:r>
      <w:r>
        <w:rPr>
          <w:rFonts w:eastAsia="Calibri"/>
          <w:sz w:val="24"/>
          <w:szCs w:val="24"/>
        </w:rPr>
        <w:t>or point-specific, recovering, and Indigenous-managed sites and systems like in the case of the Vainosjoki river. Scales and metrics depend on Indigenous evaluation and decisions on the context (Mustonen,</w:t>
      </w:r>
      <w:hyperlink r:id="rId77" w:anchor="ref-CR28">
        <w:r>
          <w:rPr>
            <w:rFonts w:eastAsia="Calibri"/>
            <w:sz w:val="24"/>
            <w:szCs w:val="24"/>
          </w:rPr>
          <w:t xml:space="preserve"> </w:t>
        </w:r>
      </w:hyperlink>
      <w:hyperlink r:id="rId78" w:anchor="ref-CR28">
        <w:r>
          <w:rPr>
            <w:rFonts w:eastAsia="Calibri"/>
            <w:color w:val="006699"/>
            <w:sz w:val="24"/>
            <w:szCs w:val="24"/>
          </w:rPr>
          <w:t>2021</w:t>
        </w:r>
      </w:hyperlink>
      <w:r>
        <w:rPr>
          <w:rFonts w:eastAsia="Calibri"/>
          <w:color w:val="222222"/>
          <w:sz w:val="16"/>
          <w:szCs w:val="16"/>
        </w:rPr>
        <w:t xml:space="preserve">). </w:t>
      </w:r>
      <w:r>
        <w:rPr>
          <w:rFonts w:eastAsia="Calibri"/>
          <w:color w:val="222222"/>
          <w:sz w:val="24"/>
          <w:szCs w:val="24"/>
          <w:u w:val="single"/>
        </w:rPr>
        <w:t>The realization of</w:t>
      </w:r>
      <w:r>
        <w:rPr>
          <w:rFonts w:eastAsia="Calibri"/>
          <w:color w:val="222222"/>
          <w:sz w:val="16"/>
          <w:szCs w:val="16"/>
        </w:rPr>
        <w:t xml:space="preserve"> </w:t>
      </w:r>
      <w:r>
        <w:rPr>
          <w:rFonts w:eastAsia="Calibri"/>
          <w:i/>
          <w:iCs/>
          <w:sz w:val="24"/>
          <w:szCs w:val="24"/>
        </w:rPr>
        <w:t>erämaa</w:t>
      </w:r>
      <w:r>
        <w:rPr>
          <w:rFonts w:eastAsia="Calibri"/>
          <w:sz w:val="24"/>
          <w:szCs w:val="24"/>
        </w:rPr>
        <w:t xml:space="preserve"> and </w:t>
      </w:r>
      <w:r>
        <w:rPr>
          <w:rFonts w:eastAsia="Calibri"/>
          <w:i/>
          <w:iCs/>
          <w:sz w:val="24"/>
          <w:szCs w:val="24"/>
        </w:rPr>
        <w:t>siida</w:t>
      </w:r>
      <w:r>
        <w:rPr>
          <w:rFonts w:eastAsia="Calibri"/>
          <w:sz w:val="24"/>
          <w:szCs w:val="24"/>
        </w:rPr>
        <w:t xml:space="preserve"> </w:t>
      </w:r>
      <w:r>
        <w:rPr>
          <w:rFonts w:eastAsia="Calibri"/>
          <w:sz w:val="24"/>
          <w:szCs w:val="24"/>
          <w:u w:val="single"/>
        </w:rPr>
        <w:t xml:space="preserve">lands is also central to revitalizing </w:t>
      </w:r>
      <w:r>
        <w:rPr>
          <w:rFonts w:eastAsia="Calibri"/>
          <w:color w:val="222222"/>
          <w:sz w:val="24"/>
          <w:szCs w:val="24"/>
          <w:u w:val="single"/>
        </w:rPr>
        <w:t>and maintaining</w:t>
      </w:r>
      <w:r>
        <w:rPr>
          <w:rFonts w:eastAsia="Calibri"/>
          <w:sz w:val="24"/>
          <w:szCs w:val="24"/>
          <w:u w:val="single"/>
        </w:rPr>
        <w:t xml:space="preserve"> traditional knowledge in the Boreal and the Arctic.</w:t>
      </w:r>
      <w:r>
        <w:rPr>
          <w:rFonts w:eastAsia="Calibri"/>
          <w:color w:val="222222"/>
          <w:sz w:val="16"/>
          <w:szCs w:val="16"/>
        </w:rPr>
        <w:t xml:space="preserve"> Living knowledge requires territories that are still functioning. This is lost when local communities are not integrated into the action arena (Ostrom,</w:t>
      </w:r>
      <w:hyperlink r:id="rId79" w:anchor="ref-CR31">
        <w:r>
          <w:rPr>
            <w:rFonts w:eastAsia="Calibri"/>
            <w:color w:val="222222"/>
            <w:sz w:val="16"/>
            <w:szCs w:val="16"/>
          </w:rPr>
          <w:t xml:space="preserve"> </w:t>
        </w:r>
      </w:hyperlink>
      <w:hyperlink r:id="rId80" w:anchor="ref-CR31">
        <w:r>
          <w:rPr>
            <w:rFonts w:eastAsia="Calibri"/>
            <w:color w:val="006699"/>
            <w:sz w:val="24"/>
            <w:szCs w:val="24"/>
          </w:rPr>
          <w:t>2009</w:t>
        </w:r>
      </w:hyperlink>
      <w:r>
        <w:rPr>
          <w:rFonts w:eastAsia="Calibri"/>
          <w:color w:val="222222"/>
          <w:sz w:val="16"/>
          <w:szCs w:val="16"/>
        </w:rPr>
        <w:t>). Dynamic conservation (Bonebrake et al.,</w:t>
      </w:r>
      <w:hyperlink r:id="rId81" w:anchor="ref-CR4">
        <w:r>
          <w:rPr>
            <w:rFonts w:eastAsia="Calibri"/>
            <w:color w:val="222222"/>
            <w:sz w:val="16"/>
            <w:szCs w:val="16"/>
          </w:rPr>
          <w:t xml:space="preserve"> </w:t>
        </w:r>
      </w:hyperlink>
      <w:hyperlink r:id="rId82" w:anchor="ref-CR4">
        <w:r>
          <w:rPr>
            <w:rFonts w:eastAsia="Calibri"/>
            <w:color w:val="006699"/>
            <w:sz w:val="24"/>
            <w:szCs w:val="24"/>
          </w:rPr>
          <w:t>2017</w:t>
        </w:r>
      </w:hyperlink>
      <w:r>
        <w:rPr>
          <w:rFonts w:eastAsia="Calibri"/>
          <w:color w:val="222222"/>
          <w:sz w:val="16"/>
          <w:szCs w:val="16"/>
        </w:rPr>
        <w:t xml:space="preserve">), which may include innovative demarcation tools responsive to the changes underway, is much needed, especially as a response to the ongoing emergence of novel ecosystems. </w:t>
      </w:r>
      <w:r>
        <w:rPr>
          <w:rFonts w:eastAsia="Calibri"/>
          <w:color w:val="222222"/>
          <w:sz w:val="24"/>
          <w:szCs w:val="24"/>
          <w:u w:val="single"/>
        </w:rPr>
        <w:t xml:space="preserve">Indigenous and Community-Conserved Areas </w:t>
      </w:r>
      <w:r>
        <w:rPr>
          <w:rFonts w:eastAsia="Calibri"/>
          <w:sz w:val="24"/>
          <w:szCs w:val="24"/>
          <w:u w:val="single"/>
        </w:rPr>
        <w:t>(ICCAs), which are recognized at the global level, should be utilized as a tool</w:t>
      </w:r>
      <w:r>
        <w:rPr>
          <w:rFonts w:eastAsia="Calibri"/>
          <w:color w:val="222222"/>
          <w:sz w:val="16"/>
          <w:szCs w:val="16"/>
        </w:rPr>
        <w:t xml:space="preserve"> (Farvar et al.,</w:t>
      </w:r>
      <w:hyperlink r:id="rId83" w:anchor="ref-CR8">
        <w:r>
          <w:rPr>
            <w:rFonts w:eastAsia="Calibri"/>
            <w:color w:val="222222"/>
            <w:sz w:val="16"/>
            <w:szCs w:val="16"/>
          </w:rPr>
          <w:t xml:space="preserve"> </w:t>
        </w:r>
      </w:hyperlink>
      <w:hyperlink r:id="rId84" w:anchor="ref-CR8">
        <w:r>
          <w:rPr>
            <w:rFonts w:eastAsia="Calibri"/>
            <w:color w:val="006699"/>
            <w:sz w:val="24"/>
            <w:szCs w:val="24"/>
          </w:rPr>
          <w:t>2018</w:t>
        </w:r>
      </w:hyperlink>
      <w:r>
        <w:rPr>
          <w:rFonts w:eastAsia="Calibri"/>
          <w:color w:val="222222"/>
          <w:sz w:val="16"/>
          <w:szCs w:val="16"/>
        </w:rPr>
        <w:t xml:space="preserve">), enabling the emergence of endemic mechanisms to address past grievances and displacements caused by conservation. </w:t>
      </w:r>
      <w:r>
        <w:rPr>
          <w:rFonts w:eastAsia="Calibri"/>
          <w:color w:val="222222"/>
          <w:sz w:val="24"/>
          <w:szCs w:val="24"/>
          <w:u w:val="single"/>
        </w:rPr>
        <w:t xml:space="preserve">Lastly, community-guided and owned rewilding, especially in disrupted ICCA sites, rebuilds social and ecological resilience </w:t>
      </w:r>
      <w:r>
        <w:rPr>
          <w:rFonts w:eastAsia="Calibri"/>
          <w:color w:val="222222"/>
          <w:sz w:val="16"/>
          <w:szCs w:val="16"/>
        </w:rPr>
        <w:t>and demonstrates in very concrete steps the power of change in situ for these affected communities (McGinnis and Ostrom,</w:t>
      </w:r>
      <w:hyperlink r:id="rId85" w:anchor="ref-CR23">
        <w:r>
          <w:rPr>
            <w:rFonts w:eastAsia="Calibri"/>
            <w:color w:val="222222"/>
            <w:sz w:val="16"/>
            <w:szCs w:val="16"/>
          </w:rPr>
          <w:t xml:space="preserve"> </w:t>
        </w:r>
      </w:hyperlink>
      <w:hyperlink r:id="rId86" w:anchor="ref-CR23">
        <w:r>
          <w:rPr>
            <w:rFonts w:eastAsia="Calibri"/>
            <w:color w:val="006699"/>
            <w:sz w:val="24"/>
            <w:szCs w:val="24"/>
          </w:rPr>
          <w:t>2014</w:t>
        </w:r>
      </w:hyperlink>
      <w:r>
        <w:rPr>
          <w:rFonts w:eastAsia="Calibri"/>
          <w:color w:val="222222"/>
          <w:sz w:val="16"/>
          <w:szCs w:val="16"/>
        </w:rPr>
        <w:t>).</w:t>
      </w:r>
      <w:r>
        <w:rPr>
          <w:rFonts w:eastAsia="Calibri"/>
          <w:sz w:val="24"/>
          <w:szCs w:val="24"/>
        </w:rPr>
        <w:t xml:space="preserve">  </w:t>
      </w:r>
    </w:p>
    <w:p w14:paraId="527979C2" w14:textId="7B84568B" w:rsidR="00752776" w:rsidRDefault="00752776" w:rsidP="00752776">
      <w:pPr>
        <w:pStyle w:val="Heading3"/>
        <w:rPr>
          <w:rFonts w:eastAsia="Calibri"/>
        </w:rPr>
      </w:pPr>
      <w:bookmarkStart w:id="9" w:name="_xfre72gqaulq" w:colFirst="0" w:colLast="0"/>
      <w:bookmarkStart w:id="10" w:name="_xujm1vhbgohk" w:colFirst="0" w:colLast="0"/>
      <w:bookmarkEnd w:id="9"/>
      <w:bookmarkEnd w:id="10"/>
      <w:r>
        <w:rPr>
          <w:rFonts w:eastAsia="Calibri"/>
        </w:rPr>
        <w:lastRenderedPageBreak/>
        <w:t>Advantage 2</w:t>
      </w:r>
    </w:p>
    <w:p w14:paraId="72787BA1" w14:textId="77777777" w:rsidR="00884C08" w:rsidRDefault="00884C08" w:rsidP="00884C08">
      <w:pPr>
        <w:pStyle w:val="Heading4"/>
        <w:spacing w:before="0" w:line="240" w:lineRule="auto"/>
        <w:rPr>
          <w:rFonts w:eastAsia="Calibri" w:cs="Calibri"/>
          <w:color w:val="000000"/>
          <w:szCs w:val="26"/>
        </w:rPr>
      </w:pPr>
      <w:r>
        <w:rPr>
          <w:rFonts w:eastAsia="Calibri" w:cs="Calibri"/>
          <w:color w:val="000000"/>
          <w:szCs w:val="26"/>
        </w:rPr>
        <w:t>Post-ANCSA, Alaskan development is determined by colonial power dynamics that privilege state sovereignty over indigenous perspectives. This imposes a litany of negative health and environmental impacts on Native Alaskans and impedes Indigenous sovereignty. Only Indigenous sovereignty over land management and resource development actualizes decolonization in the Arctic.</w:t>
      </w:r>
    </w:p>
    <w:p w14:paraId="127B0EAC" w14:textId="274DA239" w:rsidR="00884C08" w:rsidRDefault="00884C08" w:rsidP="00884C08">
      <w:pPr>
        <w:spacing w:line="240" w:lineRule="auto"/>
        <w:rPr>
          <w:rFonts w:eastAsia="Calibri"/>
        </w:rPr>
      </w:pPr>
      <w:r>
        <w:rPr>
          <w:rFonts w:eastAsia="Calibri"/>
          <w:b/>
          <w:bCs/>
          <w:sz w:val="26"/>
          <w:szCs w:val="26"/>
          <w:u w:val="single"/>
        </w:rPr>
        <w:t>Moeser</w:t>
      </w:r>
      <w:r>
        <w:rPr>
          <w:rFonts w:eastAsia="Calibri"/>
          <w:b/>
          <w:bCs/>
          <w:u w:val="single"/>
        </w:rPr>
        <w:t xml:space="preserve"> 2</w:t>
      </w:r>
      <w:r>
        <w:rPr>
          <w:rFonts w:eastAsia="Calibri"/>
          <w:b/>
          <w:bCs/>
          <w:sz w:val="26"/>
          <w:szCs w:val="26"/>
          <w:u w:val="single"/>
        </w:rPr>
        <w:t xml:space="preserve">3 </w:t>
      </w:r>
      <w:r>
        <w:rPr>
          <w:rFonts w:eastAsia="Calibri"/>
        </w:rPr>
        <w:t xml:space="preserve">[Elizabeth, “Decolonization and Arctic Engagement: A Critical Analysis of Resource Development in the US Arctic,” The Arctic Institute, Feb 21, 2023, https://www.thearcticinstitute.org/decolonization-arctic-engagement-critical-analysis-resource-development-us-arctic/, HDSCW 07-12-2025 IS] </w:t>
      </w:r>
    </w:p>
    <w:p w14:paraId="15EE96C8" w14:textId="77777777" w:rsidR="00884C08" w:rsidRDefault="00884C08" w:rsidP="00884C08">
      <w:pPr>
        <w:spacing w:line="240" w:lineRule="auto"/>
        <w:rPr>
          <w:rFonts w:eastAsia="Calibri"/>
          <w:u w:val="single"/>
        </w:rPr>
      </w:pPr>
      <w:r>
        <w:rPr>
          <w:rFonts w:eastAsia="Calibri"/>
          <w:sz w:val="16"/>
          <w:szCs w:val="16"/>
          <w:u w:val="single"/>
        </w:rPr>
        <w:t xml:space="preserve">An estimated </w:t>
      </w:r>
      <w:r>
        <w:rPr>
          <w:rFonts w:eastAsia="Calibri"/>
          <w:u w:val="single"/>
        </w:rPr>
        <w:t>10 percent of the nearly four million residents throughout the entire Arctic region are Indigenous</w:t>
      </w:r>
      <w:r>
        <w:rPr>
          <w:rFonts w:eastAsia="Calibri"/>
          <w:sz w:val="16"/>
          <w:szCs w:val="16"/>
          <w:u w:val="single"/>
        </w:rPr>
        <w:t xml:space="preserve">.1) Indigenous populations have inhabited much of the Arctic for thousands of years, long before the land was claimed and divided into nation-states. Interest in opportunities for natural resource extraction drove the historic colonization in the Arctic2) and, </w:t>
      </w:r>
      <w:r>
        <w:rPr>
          <w:rFonts w:eastAsia="Calibri"/>
          <w:highlight w:val="green"/>
          <w:u w:val="single"/>
        </w:rPr>
        <w:t>today</w:t>
      </w:r>
      <w:r>
        <w:rPr>
          <w:rFonts w:eastAsia="Calibri"/>
          <w:u w:val="single"/>
        </w:rPr>
        <w:t>, the increasing</w:t>
      </w:r>
      <w:r>
        <w:rPr>
          <w:rFonts w:eastAsia="Calibri"/>
          <w:sz w:val="16"/>
          <w:szCs w:val="16"/>
          <w:u w:val="single"/>
        </w:rPr>
        <w:t xml:space="preserve"> </w:t>
      </w:r>
      <w:r>
        <w:rPr>
          <w:rFonts w:eastAsia="Calibri"/>
          <w:sz w:val="24"/>
          <w:szCs w:val="24"/>
          <w:u w:val="single"/>
        </w:rPr>
        <w:t>accessibility of minerals</w:t>
      </w:r>
      <w:r>
        <w:rPr>
          <w:rFonts w:eastAsia="Calibri"/>
          <w:u w:val="single"/>
        </w:rPr>
        <w:t xml:space="preserve"> and oil due to climate change </w:t>
      </w:r>
      <w:r>
        <w:rPr>
          <w:rFonts w:eastAsia="Calibri"/>
          <w:sz w:val="24"/>
          <w:szCs w:val="24"/>
          <w:highlight w:val="green"/>
          <w:u w:val="single"/>
        </w:rPr>
        <w:t>is fuelling</w:t>
      </w:r>
      <w:r>
        <w:rPr>
          <w:rFonts w:eastAsia="Calibri"/>
          <w:sz w:val="24"/>
          <w:szCs w:val="24"/>
          <w:u w:val="single"/>
        </w:rPr>
        <w:t xml:space="preserve"> the</w:t>
      </w:r>
      <w:r>
        <w:rPr>
          <w:rFonts w:eastAsia="Calibri"/>
          <w:sz w:val="16"/>
          <w:szCs w:val="16"/>
          <w:u w:val="single"/>
        </w:rPr>
        <w:t xml:space="preserve"> so-called “</w:t>
      </w:r>
      <w:r>
        <w:rPr>
          <w:rFonts w:eastAsia="Calibri"/>
          <w:b/>
          <w:bCs/>
          <w:highlight w:val="green"/>
          <w:u w:val="single"/>
        </w:rPr>
        <w:t>Arctic resource boom</w:t>
      </w:r>
      <w:r>
        <w:rPr>
          <w:rFonts w:eastAsia="Calibri"/>
          <w:sz w:val="16"/>
          <w:szCs w:val="16"/>
          <w:u w:val="single"/>
        </w:rPr>
        <w:t>”3)—</w:t>
      </w:r>
      <w:r>
        <w:rPr>
          <w:rFonts w:eastAsia="Calibri"/>
          <w:u w:val="single"/>
        </w:rPr>
        <w:t xml:space="preserve">a </w:t>
      </w:r>
      <w:r>
        <w:rPr>
          <w:rFonts w:eastAsia="Calibri"/>
          <w:sz w:val="24"/>
          <w:szCs w:val="24"/>
          <w:highlight w:val="green"/>
          <w:u w:val="single"/>
        </w:rPr>
        <w:t>quest to</w:t>
      </w:r>
      <w:r>
        <w:rPr>
          <w:rFonts w:eastAsia="Calibri"/>
          <w:sz w:val="16"/>
          <w:szCs w:val="16"/>
          <w:u w:val="single"/>
        </w:rPr>
        <w:t xml:space="preserve"> find and </w:t>
      </w:r>
      <w:r>
        <w:rPr>
          <w:rFonts w:eastAsia="Calibri"/>
          <w:b/>
          <w:bCs/>
          <w:highlight w:val="green"/>
          <w:u w:val="single"/>
        </w:rPr>
        <w:t>exploit</w:t>
      </w:r>
      <w:r>
        <w:rPr>
          <w:rFonts w:eastAsia="Calibri"/>
          <w:sz w:val="16"/>
          <w:szCs w:val="16"/>
          <w:u w:val="single"/>
        </w:rPr>
        <w:t xml:space="preserve"> </w:t>
      </w:r>
      <w:r>
        <w:rPr>
          <w:rFonts w:eastAsia="Calibri"/>
          <w:sz w:val="24"/>
          <w:szCs w:val="24"/>
          <w:u w:val="single"/>
        </w:rPr>
        <w:t xml:space="preserve">the </w:t>
      </w:r>
      <w:r>
        <w:rPr>
          <w:rFonts w:eastAsia="Calibri"/>
          <w:sz w:val="24"/>
          <w:szCs w:val="24"/>
          <w:highlight w:val="green"/>
          <w:u w:val="single"/>
        </w:rPr>
        <w:t>region’s remaining resources</w:t>
      </w:r>
      <w:r>
        <w:rPr>
          <w:rFonts w:eastAsia="Calibri"/>
          <w:sz w:val="24"/>
          <w:szCs w:val="24"/>
          <w:u w:val="single"/>
        </w:rPr>
        <w:t>.</w:t>
      </w:r>
      <w:r>
        <w:rPr>
          <w:rFonts w:eastAsia="Calibri"/>
          <w:sz w:val="16"/>
          <w:szCs w:val="16"/>
          <w:u w:val="single"/>
        </w:rPr>
        <w:t xml:space="preserve"> </w:t>
      </w:r>
      <w:r>
        <w:rPr>
          <w:rFonts w:eastAsia="Calibri"/>
          <w:sz w:val="24"/>
          <w:szCs w:val="24"/>
          <w:u w:val="single"/>
        </w:rPr>
        <w:t xml:space="preserve">As more international players hope to participate in Arctic affairs, it is </w:t>
      </w:r>
      <w:r>
        <w:rPr>
          <w:rFonts w:eastAsia="Calibri"/>
          <w:b/>
          <w:bCs/>
          <w:sz w:val="24"/>
          <w:szCs w:val="24"/>
          <w:highlight w:val="green"/>
          <w:u w:val="single"/>
        </w:rPr>
        <w:t>critical</w:t>
      </w:r>
      <w:r>
        <w:rPr>
          <w:rFonts w:eastAsia="Calibri"/>
          <w:sz w:val="24"/>
          <w:szCs w:val="24"/>
          <w:highlight w:val="green"/>
          <w:u w:val="single"/>
        </w:rPr>
        <w:t xml:space="preserve"> to</w:t>
      </w:r>
      <w:r>
        <w:rPr>
          <w:rFonts w:eastAsia="Calibri"/>
          <w:sz w:val="24"/>
          <w:szCs w:val="24"/>
          <w:u w:val="single"/>
        </w:rPr>
        <w:t xml:space="preserve"> not only </w:t>
      </w:r>
      <w:r>
        <w:rPr>
          <w:rFonts w:eastAsia="Calibri"/>
          <w:sz w:val="24"/>
          <w:szCs w:val="24"/>
          <w:highlight w:val="green"/>
          <w:u w:val="single"/>
        </w:rPr>
        <w:t>consider how</w:t>
      </w:r>
      <w:r>
        <w:rPr>
          <w:rFonts w:eastAsia="Calibri"/>
          <w:sz w:val="24"/>
          <w:szCs w:val="24"/>
          <w:u w:val="single"/>
        </w:rPr>
        <w:t xml:space="preserve"> these </w:t>
      </w:r>
      <w:r>
        <w:rPr>
          <w:rFonts w:eastAsia="Calibri"/>
          <w:sz w:val="24"/>
          <w:szCs w:val="24"/>
          <w:highlight w:val="green"/>
          <w:u w:val="single"/>
        </w:rPr>
        <w:t xml:space="preserve">ventures impact </w:t>
      </w:r>
      <w:r>
        <w:rPr>
          <w:rFonts w:eastAsia="Calibri"/>
          <w:b/>
          <w:bCs/>
          <w:sz w:val="24"/>
          <w:szCs w:val="24"/>
          <w:highlight w:val="green"/>
          <w:u w:val="single"/>
        </w:rPr>
        <w:t>Indigenous</w:t>
      </w:r>
      <w:r>
        <w:rPr>
          <w:rFonts w:eastAsia="Calibri"/>
          <w:b/>
          <w:bCs/>
          <w:sz w:val="24"/>
          <w:szCs w:val="24"/>
          <w:u w:val="single"/>
        </w:rPr>
        <w:t xml:space="preserve"> populations</w:t>
      </w:r>
      <w:r>
        <w:rPr>
          <w:rFonts w:eastAsia="Calibri"/>
          <w:sz w:val="24"/>
          <w:szCs w:val="24"/>
          <w:u w:val="single"/>
        </w:rPr>
        <w:t xml:space="preserve"> but to prioritize </w:t>
      </w:r>
      <w:r>
        <w:rPr>
          <w:rFonts w:eastAsia="Calibri"/>
          <w:b/>
          <w:bCs/>
          <w:sz w:val="24"/>
          <w:szCs w:val="24"/>
          <w:u w:val="single"/>
        </w:rPr>
        <w:t>decolonization</w:t>
      </w:r>
      <w:r>
        <w:rPr>
          <w:rFonts w:eastAsia="Calibri"/>
          <w:sz w:val="24"/>
          <w:szCs w:val="24"/>
          <w:u w:val="single"/>
        </w:rPr>
        <w:t xml:space="preserve"> in these spaces</w:t>
      </w:r>
      <w:r>
        <w:rPr>
          <w:rFonts w:eastAsia="Calibri"/>
          <w:sz w:val="16"/>
          <w:szCs w:val="16"/>
          <w:u w:val="single"/>
        </w:rPr>
        <w:t xml:space="preserve">. </w:t>
      </w:r>
      <w:r>
        <w:rPr>
          <w:rFonts w:eastAsia="Calibri"/>
          <w:highlight w:val="green"/>
          <w:u w:val="single"/>
        </w:rPr>
        <w:t>Climate change is occurring more rapidly in the Arctic</w:t>
      </w:r>
      <w:r>
        <w:rPr>
          <w:rFonts w:eastAsia="Calibri"/>
          <w:sz w:val="16"/>
          <w:szCs w:val="16"/>
          <w:u w:val="single"/>
        </w:rPr>
        <w:t xml:space="preserve"> than in any other part of the world, with the most recent evidence pointing to a rate of warming nearly four times greater than the global average.4) This </w:t>
      </w:r>
      <w:r>
        <w:rPr>
          <w:rFonts w:eastAsia="Calibri"/>
          <w:highlight w:val="green"/>
          <w:u w:val="single"/>
        </w:rPr>
        <w:t>warming is</w:t>
      </w:r>
      <w:r>
        <w:rPr>
          <w:rFonts w:eastAsia="Calibri"/>
          <w:u w:val="single"/>
        </w:rPr>
        <w:t xml:space="preserve"> driving the </w:t>
      </w:r>
      <w:r>
        <w:rPr>
          <w:rFonts w:eastAsia="Calibri"/>
          <w:sz w:val="24"/>
          <w:szCs w:val="24"/>
          <w:highlight w:val="green"/>
          <w:u w:val="single"/>
        </w:rPr>
        <w:t>thawing</w:t>
      </w:r>
      <w:r>
        <w:rPr>
          <w:rFonts w:eastAsia="Calibri"/>
          <w:sz w:val="24"/>
          <w:szCs w:val="24"/>
          <w:u w:val="single"/>
        </w:rPr>
        <w:t xml:space="preserve"> of </w:t>
      </w:r>
      <w:r>
        <w:rPr>
          <w:rFonts w:eastAsia="Calibri"/>
          <w:sz w:val="24"/>
          <w:szCs w:val="24"/>
          <w:highlight w:val="green"/>
          <w:u w:val="single"/>
        </w:rPr>
        <w:t>permafrost</w:t>
      </w:r>
      <w:r>
        <w:rPr>
          <w:rFonts w:eastAsia="Calibri"/>
          <w:sz w:val="24"/>
          <w:szCs w:val="24"/>
          <w:u w:val="single"/>
        </w:rPr>
        <w:t xml:space="preserve">, loss of seasonal </w:t>
      </w:r>
      <w:r>
        <w:rPr>
          <w:rFonts w:eastAsia="Calibri"/>
          <w:sz w:val="24"/>
          <w:szCs w:val="24"/>
          <w:highlight w:val="green"/>
          <w:u w:val="single"/>
        </w:rPr>
        <w:t>snow cover,</w:t>
      </w:r>
      <w:r>
        <w:rPr>
          <w:rFonts w:eastAsia="Calibri"/>
          <w:sz w:val="24"/>
          <w:szCs w:val="24"/>
          <w:u w:val="single"/>
        </w:rPr>
        <w:t xml:space="preserve"> and </w:t>
      </w:r>
      <w:r>
        <w:rPr>
          <w:rFonts w:eastAsia="Calibri"/>
          <w:sz w:val="24"/>
          <w:szCs w:val="24"/>
          <w:highlight w:val="green"/>
          <w:u w:val="single"/>
        </w:rPr>
        <w:t>melting of</w:t>
      </w:r>
      <w:r>
        <w:rPr>
          <w:rFonts w:eastAsia="Calibri"/>
          <w:sz w:val="24"/>
          <w:szCs w:val="24"/>
          <w:u w:val="single"/>
        </w:rPr>
        <w:t xml:space="preserve"> sea ice, ice caps and </w:t>
      </w:r>
      <w:r>
        <w:rPr>
          <w:rFonts w:eastAsia="Calibri"/>
          <w:sz w:val="24"/>
          <w:szCs w:val="24"/>
          <w:highlight w:val="green"/>
          <w:u w:val="single"/>
        </w:rPr>
        <w:t>glaciers</w:t>
      </w:r>
      <w:r>
        <w:rPr>
          <w:rFonts w:eastAsia="Calibri"/>
          <w:sz w:val="24"/>
          <w:szCs w:val="24"/>
          <w:u w:val="single"/>
        </w:rPr>
        <w:t>; each,</w:t>
      </w:r>
      <w:r>
        <w:rPr>
          <w:rFonts w:eastAsia="Calibri"/>
          <w:sz w:val="16"/>
          <w:szCs w:val="16"/>
          <w:u w:val="single"/>
        </w:rPr>
        <w:t xml:space="preserve"> in turn, </w:t>
      </w:r>
      <w:r>
        <w:rPr>
          <w:rFonts w:eastAsia="Calibri"/>
          <w:u w:val="single"/>
        </w:rPr>
        <w:t xml:space="preserve">increasing the </w:t>
      </w:r>
      <w:r>
        <w:rPr>
          <w:rFonts w:eastAsia="Calibri"/>
          <w:b/>
          <w:bCs/>
          <w:sz w:val="24"/>
          <w:szCs w:val="24"/>
          <w:u w:val="single"/>
        </w:rPr>
        <w:t>accessibility</w:t>
      </w:r>
      <w:r>
        <w:rPr>
          <w:rFonts w:eastAsia="Calibri"/>
          <w:sz w:val="24"/>
          <w:szCs w:val="24"/>
          <w:u w:val="single"/>
        </w:rPr>
        <w:t xml:space="preserve"> of </w:t>
      </w:r>
      <w:r>
        <w:rPr>
          <w:rFonts w:eastAsia="Calibri"/>
          <w:b/>
          <w:bCs/>
          <w:sz w:val="24"/>
          <w:szCs w:val="24"/>
          <w:u w:val="single"/>
        </w:rPr>
        <w:t>natural resources</w:t>
      </w:r>
      <w:r>
        <w:rPr>
          <w:rFonts w:eastAsia="Calibri"/>
          <w:sz w:val="24"/>
          <w:szCs w:val="24"/>
          <w:u w:val="single"/>
        </w:rPr>
        <w:t xml:space="preserve"> and growing </w:t>
      </w:r>
      <w:r>
        <w:rPr>
          <w:rFonts w:eastAsia="Calibri"/>
          <w:b/>
          <w:bCs/>
          <w:sz w:val="24"/>
          <w:szCs w:val="24"/>
          <w:u w:val="single"/>
        </w:rPr>
        <w:t>global interest</w:t>
      </w:r>
      <w:r>
        <w:rPr>
          <w:rFonts w:eastAsia="Calibri"/>
          <w:sz w:val="24"/>
          <w:szCs w:val="24"/>
          <w:u w:val="single"/>
        </w:rPr>
        <w:t xml:space="preserve"> in the Arctic</w:t>
      </w:r>
      <w:r>
        <w:rPr>
          <w:rFonts w:eastAsia="Calibri"/>
          <w:sz w:val="16"/>
          <w:szCs w:val="16"/>
          <w:u w:val="single"/>
        </w:rPr>
        <w:t xml:space="preserve">.5) This article uses a decolonization framework to analyze resource development with a focus on the United States (US), which is considered an Arctic state by way of Alaska. </w:t>
      </w:r>
      <w:r>
        <w:rPr>
          <w:rFonts w:eastAsia="Calibri"/>
          <w:highlight w:val="green"/>
          <w:u w:val="single"/>
        </w:rPr>
        <w:t>Decolonization</w:t>
      </w:r>
      <w:r>
        <w:rPr>
          <w:rFonts w:eastAsia="Calibri"/>
          <w:u w:val="single"/>
        </w:rPr>
        <w:t xml:space="preserve"> will be </w:t>
      </w:r>
      <w:r>
        <w:rPr>
          <w:rFonts w:eastAsia="Calibri"/>
          <w:sz w:val="24"/>
          <w:szCs w:val="24"/>
          <w:highlight w:val="green"/>
          <w:u w:val="single"/>
        </w:rPr>
        <w:t>defined as</w:t>
      </w:r>
      <w:r>
        <w:rPr>
          <w:rFonts w:eastAsia="Calibri"/>
          <w:sz w:val="24"/>
          <w:szCs w:val="24"/>
          <w:u w:val="single"/>
        </w:rPr>
        <w:t xml:space="preserve"> a concept and practice of confronting and reversing the historic and ongoing legacies of colonialism,</w:t>
      </w:r>
      <w:r>
        <w:rPr>
          <w:rFonts w:eastAsia="Calibri"/>
          <w:sz w:val="16"/>
          <w:szCs w:val="16"/>
          <w:u w:val="single"/>
        </w:rPr>
        <w:t xml:space="preserve">6) </w:t>
      </w:r>
      <w:r>
        <w:rPr>
          <w:rFonts w:eastAsia="Calibri"/>
          <w:u w:val="single"/>
        </w:rPr>
        <w:t>including the structures of power that uphold inequalities</w:t>
      </w:r>
      <w:r>
        <w:rPr>
          <w:rFonts w:eastAsia="Calibri"/>
          <w:sz w:val="16"/>
          <w:szCs w:val="16"/>
          <w:u w:val="single"/>
        </w:rPr>
        <w:t xml:space="preserve">. After a brief background covering land ownership and some of the outcomes of resource development in Alaska, this article will delve into dynamics that reproduce and perpetuate colonial structures of power. This analysis will feature (i) the prioritization of state and federal interests through the idea of sovereignty and (ii) the primacy and assumed superiority of Western knowledge and conventions and, conversely, the disregard for Indigenous knowledge systems and worldviews. To bridge the gap between theory and action, the article will continually ask what it would mean to decolonize resource development in the US Arctic. </w:t>
      </w:r>
      <w:r>
        <w:rPr>
          <w:rFonts w:eastAsia="Calibri"/>
          <w:b/>
          <w:bCs/>
          <w:highlight w:val="green"/>
          <w:u w:val="single"/>
        </w:rPr>
        <w:t>Confronting</w:t>
      </w:r>
      <w:r>
        <w:rPr>
          <w:rFonts w:eastAsia="Calibri"/>
          <w:u w:val="single"/>
        </w:rPr>
        <w:t xml:space="preserve"> the ongoing </w:t>
      </w:r>
      <w:r>
        <w:rPr>
          <w:rFonts w:eastAsia="Calibri"/>
          <w:sz w:val="24"/>
          <w:szCs w:val="24"/>
          <w:highlight w:val="green"/>
          <w:u w:val="single"/>
        </w:rPr>
        <w:t>systems</w:t>
      </w:r>
      <w:r>
        <w:rPr>
          <w:rFonts w:eastAsia="Calibri"/>
          <w:sz w:val="24"/>
          <w:szCs w:val="24"/>
          <w:u w:val="single"/>
        </w:rPr>
        <w:t xml:space="preserve"> and dynamics </w:t>
      </w:r>
      <w:r>
        <w:rPr>
          <w:rFonts w:eastAsia="Calibri"/>
          <w:sz w:val="24"/>
          <w:szCs w:val="24"/>
          <w:highlight w:val="green"/>
          <w:u w:val="single"/>
        </w:rPr>
        <w:t xml:space="preserve">of </w:t>
      </w:r>
      <w:r>
        <w:rPr>
          <w:rFonts w:eastAsia="Calibri"/>
          <w:b/>
          <w:bCs/>
          <w:sz w:val="24"/>
          <w:szCs w:val="24"/>
          <w:highlight w:val="green"/>
          <w:u w:val="single"/>
        </w:rPr>
        <w:t>colonialism</w:t>
      </w:r>
      <w:r>
        <w:rPr>
          <w:rFonts w:eastAsia="Calibri"/>
          <w:sz w:val="24"/>
          <w:szCs w:val="24"/>
          <w:u w:val="single"/>
        </w:rPr>
        <w:t xml:space="preserve"> must be </w:t>
      </w:r>
      <w:r>
        <w:rPr>
          <w:rFonts w:eastAsia="Calibri"/>
          <w:sz w:val="24"/>
          <w:szCs w:val="24"/>
          <w:highlight w:val="green"/>
          <w:u w:val="single"/>
        </w:rPr>
        <w:t>placed at</w:t>
      </w:r>
      <w:r>
        <w:rPr>
          <w:rFonts w:eastAsia="Calibri"/>
          <w:sz w:val="24"/>
          <w:szCs w:val="24"/>
          <w:u w:val="single"/>
        </w:rPr>
        <w:t xml:space="preserve"> the </w:t>
      </w:r>
      <w:r>
        <w:rPr>
          <w:rFonts w:eastAsia="Calibri"/>
          <w:b/>
          <w:bCs/>
          <w:sz w:val="24"/>
          <w:szCs w:val="24"/>
          <w:u w:val="single"/>
        </w:rPr>
        <w:t>forefront</w:t>
      </w:r>
      <w:r>
        <w:rPr>
          <w:rFonts w:eastAsia="Calibri"/>
          <w:sz w:val="24"/>
          <w:szCs w:val="24"/>
          <w:u w:val="single"/>
        </w:rPr>
        <w:t xml:space="preserve"> of present-day and future </w:t>
      </w:r>
      <w:r>
        <w:rPr>
          <w:rFonts w:eastAsia="Calibri"/>
          <w:sz w:val="24"/>
          <w:szCs w:val="24"/>
          <w:highlight w:val="green"/>
          <w:u w:val="single"/>
        </w:rPr>
        <w:t>Arctic engagement</w:t>
      </w:r>
      <w:r>
        <w:rPr>
          <w:rFonts w:eastAsia="Calibri"/>
          <w:sz w:val="24"/>
          <w:szCs w:val="24"/>
          <w:u w:val="single"/>
        </w:rPr>
        <w:t xml:space="preserve"> and collaboration—not only in the US, but throughout the region Background The United States purchased the land that is present-day Alaska from Russia in 1867. Just over a century later, in 1968, the discovery of oil in Prudhoe Bay made the Arctic relevant at a national scale.7) The commercial export of oil to the lower 48 states was now possible for the first time. Hindering this ambition, however, was the fact that the planned pipeline to carry the oil south traversed lands claimed by Alaska Native populations. ‘Alaska Native’ refers collectively to the Indigenous populations who have lived in present-day Alaska for thousands of years before the arrival of Europeans in the 1700s.8) This term encompasses “many nations and tribes” and “widely diverse cultures, languages, lifeways, art forms and histories”.9) To enable the construction of the pipeline to the contiguous United States, land claims issues around Prudhoe Bay were settled with the Alaska Native Claims Settlement Act (ANCSA) in 1971. </w:t>
      </w:r>
      <w:r>
        <w:rPr>
          <w:rFonts w:eastAsia="Calibri"/>
          <w:sz w:val="24"/>
          <w:szCs w:val="24"/>
          <w:highlight w:val="green"/>
          <w:u w:val="single"/>
        </w:rPr>
        <w:t>ANCSA extinguished Indigenous claims to</w:t>
      </w:r>
      <w:r>
        <w:rPr>
          <w:rFonts w:eastAsia="Calibri"/>
          <w:sz w:val="24"/>
          <w:szCs w:val="24"/>
          <w:u w:val="single"/>
        </w:rPr>
        <w:t xml:space="preserve"> nearly 400 million acres of </w:t>
      </w:r>
      <w:r>
        <w:rPr>
          <w:rFonts w:eastAsia="Calibri"/>
          <w:sz w:val="24"/>
          <w:szCs w:val="24"/>
          <w:highlight w:val="green"/>
          <w:u w:val="single"/>
        </w:rPr>
        <w:t>land throughout the state</w:t>
      </w:r>
      <w:r>
        <w:rPr>
          <w:rFonts w:eastAsia="Calibri"/>
          <w:sz w:val="24"/>
          <w:szCs w:val="24"/>
          <w:u w:val="single"/>
        </w:rPr>
        <w:t xml:space="preserve"> in exchange for $962.5 million and ownership of 43.7 million acres. </w:t>
      </w:r>
      <w:r>
        <w:rPr>
          <w:rFonts w:eastAsia="Calibri"/>
          <w:sz w:val="24"/>
          <w:szCs w:val="24"/>
          <w:highlight w:val="green"/>
          <w:u w:val="single"/>
        </w:rPr>
        <w:t>ANCSA</w:t>
      </w:r>
      <w:r>
        <w:rPr>
          <w:rFonts w:eastAsia="Calibri"/>
          <w:sz w:val="24"/>
          <w:szCs w:val="24"/>
          <w:u w:val="single"/>
        </w:rPr>
        <w:t xml:space="preserve"> also </w:t>
      </w:r>
      <w:r>
        <w:rPr>
          <w:rFonts w:eastAsia="Calibri"/>
          <w:sz w:val="24"/>
          <w:szCs w:val="24"/>
          <w:highlight w:val="green"/>
          <w:u w:val="single"/>
        </w:rPr>
        <w:t>divided the state into</w:t>
      </w:r>
      <w:r>
        <w:rPr>
          <w:rFonts w:eastAsia="Calibri"/>
          <w:sz w:val="24"/>
          <w:szCs w:val="24"/>
          <w:u w:val="single"/>
        </w:rPr>
        <w:t xml:space="preserve"> twelve </w:t>
      </w:r>
      <w:r>
        <w:rPr>
          <w:rFonts w:eastAsia="Calibri"/>
          <w:sz w:val="24"/>
          <w:szCs w:val="24"/>
          <w:highlight w:val="green"/>
          <w:u w:val="single"/>
        </w:rPr>
        <w:t>regions,</w:t>
      </w:r>
      <w:r>
        <w:rPr>
          <w:rFonts w:eastAsia="Calibri"/>
          <w:sz w:val="24"/>
          <w:szCs w:val="24"/>
          <w:u w:val="single"/>
        </w:rPr>
        <w:t xml:space="preserve"> </w:t>
      </w:r>
      <w:r>
        <w:rPr>
          <w:rFonts w:eastAsia="Calibri"/>
          <w:sz w:val="24"/>
          <w:szCs w:val="24"/>
          <w:highlight w:val="green"/>
          <w:u w:val="single"/>
        </w:rPr>
        <w:t>each with an Alaska Native Regional Corporation.</w:t>
      </w:r>
      <w:r>
        <w:rPr>
          <w:rFonts w:eastAsia="Calibri"/>
          <w:sz w:val="24"/>
          <w:szCs w:val="24"/>
          <w:u w:val="single"/>
        </w:rPr>
        <w:t xml:space="preserve"> The regional boundaries of the corporations do not, however, equate to land ownership; land in Alaska is predominantly owned by the state and federal governments. Just 10 percent of Alaska’s 663,000 square miles are owned by Alaska Native populations.10) The Regional Corporations operate under US corporate law to administer resources and serve the local communities. </w:t>
      </w:r>
      <w:r>
        <w:rPr>
          <w:rFonts w:eastAsia="Calibri"/>
          <w:sz w:val="24"/>
          <w:szCs w:val="24"/>
          <w:highlight w:val="green"/>
          <w:u w:val="single"/>
        </w:rPr>
        <w:t>These for-profit corporations participate in the Alaskan natural resource industry</w:t>
      </w:r>
      <w:r>
        <w:rPr>
          <w:rFonts w:eastAsia="Calibri"/>
          <w:sz w:val="24"/>
          <w:szCs w:val="24"/>
          <w:u w:val="single"/>
        </w:rPr>
        <w:t>, both directly and indirectly.</w:t>
      </w:r>
      <w:r>
        <w:rPr>
          <w:rFonts w:eastAsia="Calibri"/>
          <w:sz w:val="16"/>
          <w:szCs w:val="16"/>
          <w:u w:val="single"/>
        </w:rPr>
        <w:t xml:space="preserve"> </w:t>
      </w:r>
      <w:r>
        <w:rPr>
          <w:rFonts w:eastAsia="Calibri"/>
          <w:u w:val="single"/>
        </w:rPr>
        <w:t xml:space="preserve">Federal Arctic </w:t>
      </w:r>
      <w:r>
        <w:rPr>
          <w:rFonts w:eastAsia="Calibri"/>
          <w:sz w:val="24"/>
          <w:szCs w:val="24"/>
          <w:highlight w:val="green"/>
          <w:u w:val="single"/>
        </w:rPr>
        <w:t>policy</w:t>
      </w:r>
      <w:r>
        <w:rPr>
          <w:rFonts w:eastAsia="Calibri"/>
          <w:sz w:val="24"/>
          <w:szCs w:val="24"/>
          <w:u w:val="single"/>
        </w:rPr>
        <w:t xml:space="preserve"> in the US</w:t>
      </w:r>
      <w:r>
        <w:rPr>
          <w:rFonts w:eastAsia="Calibri"/>
          <w:sz w:val="16"/>
          <w:szCs w:val="16"/>
          <w:u w:val="single"/>
        </w:rPr>
        <w:t xml:space="preserve"> </w:t>
      </w:r>
      <w:r>
        <w:rPr>
          <w:rFonts w:eastAsia="Calibri"/>
          <w:sz w:val="24"/>
          <w:szCs w:val="24"/>
          <w:u w:val="single"/>
        </w:rPr>
        <w:t xml:space="preserve">has </w:t>
      </w:r>
      <w:r>
        <w:rPr>
          <w:rFonts w:eastAsia="Calibri"/>
          <w:sz w:val="24"/>
          <w:szCs w:val="24"/>
          <w:highlight w:val="green"/>
          <w:u w:val="single"/>
        </w:rPr>
        <w:t>tended to emphasize</w:t>
      </w:r>
      <w:r>
        <w:rPr>
          <w:rFonts w:eastAsia="Calibri"/>
          <w:sz w:val="16"/>
          <w:szCs w:val="16"/>
          <w:u w:val="single"/>
        </w:rPr>
        <w:t xml:space="preserve"> the </w:t>
      </w:r>
      <w:r>
        <w:rPr>
          <w:rFonts w:eastAsia="Calibri"/>
          <w:highlight w:val="green"/>
          <w:u w:val="single"/>
        </w:rPr>
        <w:t>exploitation</w:t>
      </w:r>
      <w:r>
        <w:rPr>
          <w:rFonts w:eastAsia="Calibri"/>
          <w:sz w:val="16"/>
          <w:szCs w:val="16"/>
          <w:u w:val="single"/>
        </w:rPr>
        <w:t xml:space="preserve"> </w:t>
      </w:r>
      <w:r>
        <w:rPr>
          <w:rFonts w:eastAsia="Calibri"/>
          <w:sz w:val="24"/>
          <w:szCs w:val="24"/>
          <w:u w:val="single"/>
        </w:rPr>
        <w:t>of Arctic resources for US economic development</w:t>
      </w:r>
      <w:r>
        <w:rPr>
          <w:rFonts w:eastAsia="Calibri"/>
          <w:sz w:val="16"/>
          <w:szCs w:val="16"/>
          <w:u w:val="single"/>
        </w:rPr>
        <w:t>.11) W</w:t>
      </w:r>
      <w:r>
        <w:rPr>
          <w:rFonts w:eastAsia="Calibri"/>
          <w:u w:val="single"/>
        </w:rPr>
        <w:t>ithin the new National Strategy for the Arctic Region</w:t>
      </w:r>
      <w:r>
        <w:rPr>
          <w:rFonts w:eastAsia="Calibri"/>
          <w:sz w:val="16"/>
          <w:szCs w:val="16"/>
          <w:u w:val="single"/>
        </w:rPr>
        <w:t xml:space="preserve"> (released October 2022), </w:t>
      </w:r>
      <w:r>
        <w:rPr>
          <w:rFonts w:eastAsia="Calibri"/>
          <w:u w:val="single"/>
        </w:rPr>
        <w:t xml:space="preserve">economic development continues to receive a strong </w:t>
      </w:r>
      <w:r>
        <w:rPr>
          <w:rFonts w:eastAsia="Calibri"/>
          <w:u w:val="single"/>
        </w:rPr>
        <w:lastRenderedPageBreak/>
        <w:t>emphasis—alongside security—and Arctic investments are expected to increase over the following decade</w:t>
      </w:r>
      <w:r>
        <w:rPr>
          <w:rFonts w:eastAsia="Calibri"/>
          <w:sz w:val="16"/>
          <w:szCs w:val="16"/>
          <w:u w:val="single"/>
        </w:rPr>
        <w:t xml:space="preserve">.12) In the face of this ever-growing interest in Arctic engagement, </w:t>
      </w:r>
      <w:r>
        <w:rPr>
          <w:rFonts w:eastAsia="Calibri"/>
          <w:highlight w:val="green"/>
          <w:u w:val="single"/>
        </w:rPr>
        <w:t>Alaska Native communities</w:t>
      </w:r>
      <w:r>
        <w:rPr>
          <w:rFonts w:eastAsia="Calibri"/>
          <w:sz w:val="16"/>
          <w:szCs w:val="16"/>
          <w:u w:val="single"/>
        </w:rPr>
        <w:t xml:space="preserve"> may </w:t>
      </w:r>
      <w:r>
        <w:rPr>
          <w:rFonts w:eastAsia="Calibri"/>
          <w:highlight w:val="green"/>
          <w:u w:val="single"/>
        </w:rPr>
        <w:t>face</w:t>
      </w:r>
      <w:r>
        <w:rPr>
          <w:rFonts w:eastAsia="Calibri"/>
          <w:u w:val="single"/>
        </w:rPr>
        <w:t xml:space="preserve"> new and renewed </w:t>
      </w:r>
      <w:r>
        <w:rPr>
          <w:rFonts w:eastAsia="Calibri"/>
          <w:b/>
          <w:bCs/>
          <w:sz w:val="24"/>
          <w:szCs w:val="24"/>
          <w:highlight w:val="green"/>
          <w:u w:val="single"/>
        </w:rPr>
        <w:t>colonial intrusion</w:t>
      </w:r>
      <w:r>
        <w:rPr>
          <w:rFonts w:eastAsia="Calibri"/>
          <w:sz w:val="24"/>
          <w:szCs w:val="24"/>
          <w:highlight w:val="green"/>
          <w:u w:val="single"/>
        </w:rPr>
        <w:t xml:space="preserve"> in the form of</w:t>
      </w:r>
      <w:r>
        <w:rPr>
          <w:rFonts w:eastAsia="Calibri"/>
          <w:sz w:val="24"/>
          <w:szCs w:val="24"/>
          <w:u w:val="single"/>
        </w:rPr>
        <w:t xml:space="preserve"> </w:t>
      </w:r>
      <w:r>
        <w:rPr>
          <w:rFonts w:eastAsia="Calibri"/>
          <w:b/>
          <w:bCs/>
          <w:sz w:val="24"/>
          <w:szCs w:val="24"/>
          <w:u w:val="single"/>
        </w:rPr>
        <w:t xml:space="preserve">large-scale </w:t>
      </w:r>
      <w:r>
        <w:rPr>
          <w:rFonts w:eastAsia="Calibri"/>
          <w:b/>
          <w:bCs/>
          <w:sz w:val="24"/>
          <w:szCs w:val="24"/>
          <w:highlight w:val="green"/>
          <w:u w:val="single"/>
        </w:rPr>
        <w:t>resource development</w:t>
      </w:r>
      <w:r>
        <w:rPr>
          <w:rFonts w:eastAsia="Calibri"/>
          <w:sz w:val="16"/>
          <w:szCs w:val="16"/>
          <w:u w:val="single"/>
        </w:rPr>
        <w:t>.13) Effects of resource development Continual ‘</w:t>
      </w:r>
      <w:r>
        <w:rPr>
          <w:rFonts w:eastAsia="Calibri"/>
          <w:b/>
          <w:bCs/>
          <w:highlight w:val="green"/>
          <w:u w:val="single"/>
        </w:rPr>
        <w:t>boom and bust</w:t>
      </w:r>
      <w:r>
        <w:rPr>
          <w:rFonts w:eastAsia="Calibri"/>
          <w:highlight w:val="green"/>
          <w:u w:val="single"/>
        </w:rPr>
        <w:t>’</w:t>
      </w:r>
      <w:r>
        <w:rPr>
          <w:rFonts w:eastAsia="Calibri"/>
          <w:sz w:val="16"/>
          <w:szCs w:val="16"/>
          <w:u w:val="single"/>
        </w:rPr>
        <w:t xml:space="preserve"> </w:t>
      </w:r>
      <w:r>
        <w:rPr>
          <w:rFonts w:eastAsia="Calibri"/>
          <w:sz w:val="24"/>
          <w:szCs w:val="24"/>
          <w:u w:val="single"/>
        </w:rPr>
        <w:t xml:space="preserve">with periods of financial growth and decline characterizes resource development in the </w:t>
      </w:r>
      <w:r>
        <w:rPr>
          <w:rFonts w:eastAsia="Calibri"/>
          <w:b/>
          <w:bCs/>
          <w:sz w:val="24"/>
          <w:szCs w:val="24"/>
          <w:u w:val="single"/>
        </w:rPr>
        <w:t>capitalist system</w:t>
      </w:r>
      <w:r>
        <w:rPr>
          <w:rFonts w:eastAsia="Calibri"/>
          <w:sz w:val="16"/>
          <w:szCs w:val="16"/>
          <w:u w:val="single"/>
        </w:rPr>
        <w:t xml:space="preserve">.14) This </w:t>
      </w:r>
      <w:r>
        <w:rPr>
          <w:rFonts w:eastAsia="Calibri"/>
          <w:highlight w:val="green"/>
          <w:u w:val="single"/>
        </w:rPr>
        <w:t>instability</w:t>
      </w:r>
      <w:r>
        <w:rPr>
          <w:rFonts w:eastAsia="Calibri"/>
          <w:sz w:val="16"/>
          <w:szCs w:val="16"/>
          <w:highlight w:val="green"/>
          <w:u w:val="single"/>
        </w:rPr>
        <w:t xml:space="preserve"> </w:t>
      </w:r>
      <w:r>
        <w:rPr>
          <w:rFonts w:eastAsia="Calibri"/>
          <w:sz w:val="24"/>
          <w:szCs w:val="24"/>
          <w:u w:val="single"/>
        </w:rPr>
        <w:t>prohibits</w:t>
      </w:r>
      <w:r>
        <w:rPr>
          <w:rFonts w:eastAsia="Calibri"/>
          <w:sz w:val="16"/>
          <w:szCs w:val="16"/>
          <w:u w:val="single"/>
        </w:rPr>
        <w:t xml:space="preserve"> many </w:t>
      </w:r>
      <w:r>
        <w:rPr>
          <w:rFonts w:eastAsia="Calibri"/>
          <w:highlight w:val="green"/>
          <w:u w:val="single"/>
        </w:rPr>
        <w:t>communities from relying</w:t>
      </w:r>
      <w:r>
        <w:rPr>
          <w:rFonts w:eastAsia="Calibri"/>
          <w:sz w:val="16"/>
          <w:szCs w:val="16"/>
          <w:u w:val="single"/>
        </w:rPr>
        <w:t xml:space="preserve"> solely </w:t>
      </w:r>
      <w:r>
        <w:rPr>
          <w:rFonts w:eastAsia="Calibri"/>
          <w:highlight w:val="green"/>
          <w:u w:val="single"/>
        </w:rPr>
        <w:t>on economies centered on resource extraction</w:t>
      </w:r>
      <w:r>
        <w:rPr>
          <w:rFonts w:eastAsia="Calibri"/>
          <w:sz w:val="16"/>
          <w:szCs w:val="16"/>
          <w:u w:val="single"/>
        </w:rPr>
        <w:t xml:space="preserve">. </w:t>
      </w:r>
      <w:r>
        <w:rPr>
          <w:rFonts w:eastAsia="Calibri"/>
          <w:u w:val="single"/>
        </w:rPr>
        <w:t>Subsistence practices provide a source of greater stability</w:t>
      </w:r>
      <w:r>
        <w:rPr>
          <w:rFonts w:eastAsia="Calibri"/>
          <w:sz w:val="16"/>
          <w:szCs w:val="16"/>
          <w:u w:val="single"/>
        </w:rPr>
        <w:t xml:space="preserve"> within what would otherwise be an unstable extractive economy.15) </w:t>
      </w:r>
      <w:r>
        <w:rPr>
          <w:rFonts w:eastAsia="Calibri"/>
          <w:b/>
          <w:bCs/>
          <w:u w:val="single"/>
        </w:rPr>
        <w:t xml:space="preserve">Resource </w:t>
      </w:r>
      <w:r>
        <w:rPr>
          <w:rFonts w:eastAsia="Calibri"/>
          <w:b/>
          <w:bCs/>
          <w:sz w:val="24"/>
          <w:szCs w:val="24"/>
          <w:highlight w:val="green"/>
          <w:u w:val="single"/>
        </w:rPr>
        <w:t>extraction</w:t>
      </w:r>
      <w:r>
        <w:rPr>
          <w:rFonts w:eastAsia="Calibri"/>
          <w:highlight w:val="green"/>
          <w:u w:val="single"/>
        </w:rPr>
        <w:t xml:space="preserve"> has</w:t>
      </w:r>
      <w:r>
        <w:rPr>
          <w:rFonts w:eastAsia="Calibri"/>
          <w:sz w:val="16"/>
          <w:szCs w:val="16"/>
          <w:u w:val="single"/>
        </w:rPr>
        <w:t xml:space="preserve">, however, </w:t>
      </w:r>
      <w:r>
        <w:rPr>
          <w:rFonts w:eastAsia="Calibri"/>
          <w:u w:val="single"/>
        </w:rPr>
        <w:t xml:space="preserve">had </w:t>
      </w:r>
      <w:r>
        <w:rPr>
          <w:rFonts w:eastAsia="Calibri"/>
          <w:b/>
          <w:bCs/>
          <w:sz w:val="24"/>
          <w:szCs w:val="24"/>
          <w:u w:val="single"/>
        </w:rPr>
        <w:t xml:space="preserve">detrimental </w:t>
      </w:r>
      <w:r>
        <w:rPr>
          <w:rFonts w:eastAsia="Calibri"/>
          <w:b/>
          <w:bCs/>
          <w:sz w:val="24"/>
          <w:szCs w:val="24"/>
          <w:highlight w:val="green"/>
          <w:u w:val="single"/>
        </w:rPr>
        <w:t>impacts</w:t>
      </w:r>
      <w:r>
        <w:rPr>
          <w:rFonts w:eastAsia="Calibri"/>
          <w:sz w:val="24"/>
          <w:szCs w:val="24"/>
          <w:u w:val="single"/>
        </w:rPr>
        <w:t xml:space="preserve"> on the land, water, and wildlife </w:t>
      </w:r>
      <w:r>
        <w:rPr>
          <w:rFonts w:eastAsia="Calibri"/>
          <w:sz w:val="24"/>
          <w:szCs w:val="24"/>
          <w:highlight w:val="green"/>
          <w:u w:val="single"/>
        </w:rPr>
        <w:t>that reduce the viability of subsistence lifeways</w:t>
      </w:r>
      <w:r>
        <w:rPr>
          <w:rFonts w:eastAsia="Calibri"/>
          <w:sz w:val="24"/>
          <w:szCs w:val="24"/>
          <w:u w:val="single"/>
        </w:rPr>
        <w:t>.</w:t>
      </w:r>
      <w:r>
        <w:rPr>
          <w:rFonts w:eastAsia="Calibri"/>
          <w:sz w:val="16"/>
          <w:szCs w:val="16"/>
          <w:u w:val="single"/>
        </w:rPr>
        <w:t xml:space="preserve"> Specifically, </w:t>
      </w:r>
      <w:r>
        <w:rPr>
          <w:rFonts w:eastAsia="Calibri"/>
          <w:u w:val="single"/>
        </w:rPr>
        <w:t xml:space="preserve">extractive activities have been found to </w:t>
      </w:r>
      <w:r>
        <w:rPr>
          <w:rFonts w:eastAsia="Calibri"/>
          <w:b/>
          <w:bCs/>
          <w:sz w:val="24"/>
          <w:szCs w:val="24"/>
          <w:highlight w:val="green"/>
          <w:u w:val="single"/>
        </w:rPr>
        <w:t>increase</w:t>
      </w:r>
      <w:r>
        <w:rPr>
          <w:rFonts w:eastAsia="Calibri"/>
          <w:sz w:val="24"/>
          <w:szCs w:val="24"/>
          <w:highlight w:val="green"/>
          <w:u w:val="single"/>
        </w:rPr>
        <w:t xml:space="preserve"> </w:t>
      </w:r>
      <w:r>
        <w:rPr>
          <w:rFonts w:eastAsia="Calibri"/>
          <w:b/>
          <w:bCs/>
          <w:sz w:val="24"/>
          <w:szCs w:val="24"/>
          <w:highlight w:val="green"/>
          <w:u w:val="single"/>
        </w:rPr>
        <w:t>vulnerability</w:t>
      </w:r>
      <w:r>
        <w:rPr>
          <w:rFonts w:eastAsia="Calibri"/>
          <w:sz w:val="24"/>
          <w:szCs w:val="24"/>
          <w:highlight w:val="green"/>
          <w:u w:val="single"/>
        </w:rPr>
        <w:t xml:space="preserve"> to </w:t>
      </w:r>
      <w:r>
        <w:rPr>
          <w:rFonts w:eastAsia="Calibri"/>
          <w:b/>
          <w:bCs/>
          <w:sz w:val="24"/>
          <w:szCs w:val="24"/>
          <w:highlight w:val="green"/>
          <w:u w:val="single"/>
        </w:rPr>
        <w:t>biological invasion</w:t>
      </w:r>
      <w:r>
        <w:rPr>
          <w:rFonts w:eastAsia="Calibri"/>
          <w:sz w:val="16"/>
          <w:szCs w:val="16"/>
          <w:u w:val="single"/>
        </w:rPr>
        <w:t xml:space="preserve">,16) </w:t>
      </w:r>
      <w:r>
        <w:rPr>
          <w:rFonts w:eastAsia="Calibri"/>
          <w:u w:val="single"/>
        </w:rPr>
        <w:t>bring changes to the land with built infrastructure</w:t>
      </w:r>
      <w:r>
        <w:rPr>
          <w:rFonts w:eastAsia="Calibri"/>
          <w:sz w:val="16"/>
          <w:szCs w:val="16"/>
          <w:u w:val="single"/>
        </w:rPr>
        <w:t xml:space="preserve">,17) </w:t>
      </w:r>
      <w:r>
        <w:rPr>
          <w:rFonts w:eastAsia="Calibri"/>
          <w:u w:val="single"/>
        </w:rPr>
        <w:t xml:space="preserve">and introduce the risk of contamination, such as </w:t>
      </w:r>
      <w:r>
        <w:rPr>
          <w:rFonts w:eastAsia="Calibri"/>
          <w:b/>
          <w:bCs/>
          <w:sz w:val="24"/>
          <w:szCs w:val="24"/>
          <w:u w:val="single"/>
        </w:rPr>
        <w:t>oil spills</w:t>
      </w:r>
      <w:r>
        <w:rPr>
          <w:rFonts w:eastAsia="Calibri"/>
          <w:sz w:val="16"/>
          <w:szCs w:val="16"/>
          <w:u w:val="single"/>
        </w:rPr>
        <w:t xml:space="preserve">.18) </w:t>
      </w:r>
      <w:r>
        <w:rPr>
          <w:rFonts w:eastAsia="Calibri"/>
          <w:u w:val="single"/>
        </w:rPr>
        <w:t xml:space="preserve">The resulting decreased viability of subsistence practices is </w:t>
      </w:r>
      <w:r>
        <w:rPr>
          <w:rFonts w:eastAsia="Calibri"/>
          <w:sz w:val="24"/>
          <w:szCs w:val="24"/>
          <w:highlight w:val="green"/>
          <w:u w:val="single"/>
        </w:rPr>
        <w:t>worsened by the threat climate change</w:t>
      </w:r>
      <w:r>
        <w:rPr>
          <w:rFonts w:eastAsia="Calibri"/>
          <w:sz w:val="24"/>
          <w:szCs w:val="24"/>
          <w:u w:val="single"/>
        </w:rPr>
        <w:t xml:space="preserve"> poses to hunting and gathering activities</w:t>
      </w:r>
      <w:r>
        <w:rPr>
          <w:rFonts w:eastAsia="Calibri"/>
          <w:sz w:val="16"/>
          <w:szCs w:val="16"/>
          <w:u w:val="single"/>
        </w:rPr>
        <w:t xml:space="preserve">.19) Although some measures of physical health have improved since ANCSA,20) </w:t>
      </w:r>
      <w:r>
        <w:rPr>
          <w:rFonts w:eastAsia="Calibri"/>
          <w:u w:val="single"/>
        </w:rPr>
        <w:t xml:space="preserve">resource extraction can </w:t>
      </w:r>
      <w:r>
        <w:rPr>
          <w:rFonts w:eastAsia="Calibri"/>
          <w:sz w:val="24"/>
          <w:szCs w:val="24"/>
          <w:highlight w:val="green"/>
          <w:u w:val="single"/>
        </w:rPr>
        <w:t>compromise</w:t>
      </w:r>
      <w:r>
        <w:rPr>
          <w:rFonts w:eastAsia="Calibri"/>
          <w:sz w:val="24"/>
          <w:szCs w:val="24"/>
          <w:u w:val="single"/>
        </w:rPr>
        <w:t xml:space="preserve"> the </w:t>
      </w:r>
      <w:r>
        <w:rPr>
          <w:rFonts w:eastAsia="Calibri"/>
          <w:b/>
          <w:bCs/>
          <w:sz w:val="24"/>
          <w:szCs w:val="24"/>
          <w:highlight w:val="green"/>
          <w:u w:val="single"/>
        </w:rPr>
        <w:t>health</w:t>
      </w:r>
      <w:r>
        <w:rPr>
          <w:rFonts w:eastAsia="Calibri"/>
          <w:sz w:val="24"/>
          <w:szCs w:val="24"/>
          <w:u w:val="single"/>
        </w:rPr>
        <w:t xml:space="preserve"> and </w:t>
      </w:r>
      <w:r>
        <w:rPr>
          <w:rFonts w:eastAsia="Calibri"/>
          <w:b/>
          <w:bCs/>
          <w:sz w:val="24"/>
          <w:szCs w:val="24"/>
          <w:u w:val="single"/>
        </w:rPr>
        <w:t>wellbeing</w:t>
      </w:r>
      <w:r>
        <w:rPr>
          <w:rFonts w:eastAsia="Calibri"/>
          <w:sz w:val="24"/>
          <w:szCs w:val="24"/>
          <w:u w:val="single"/>
        </w:rPr>
        <w:t xml:space="preserve"> of nearby </w:t>
      </w:r>
      <w:r>
        <w:rPr>
          <w:rFonts w:eastAsia="Calibri"/>
          <w:sz w:val="24"/>
          <w:szCs w:val="24"/>
          <w:highlight w:val="green"/>
          <w:u w:val="single"/>
        </w:rPr>
        <w:t>Indigenous populations</w:t>
      </w:r>
      <w:r>
        <w:rPr>
          <w:rFonts w:eastAsia="Calibri"/>
          <w:sz w:val="24"/>
          <w:szCs w:val="24"/>
          <w:u w:val="single"/>
        </w:rPr>
        <w:t>.</w:t>
      </w:r>
      <w:r>
        <w:rPr>
          <w:rFonts w:eastAsia="Calibri"/>
          <w:sz w:val="16"/>
          <w:szCs w:val="16"/>
          <w:u w:val="single"/>
        </w:rPr>
        <w:t xml:space="preserve"> </w:t>
      </w:r>
      <w:r>
        <w:rPr>
          <w:rFonts w:eastAsia="Calibri"/>
          <w:sz w:val="24"/>
          <w:szCs w:val="24"/>
          <w:u w:val="single"/>
        </w:rPr>
        <w:t>Significant health disparities remain among Alaska Natives compared to non-native</w:t>
      </w:r>
      <w:r>
        <w:rPr>
          <w:rFonts w:eastAsia="Calibri"/>
          <w:sz w:val="16"/>
          <w:szCs w:val="16"/>
          <w:u w:val="single"/>
        </w:rPr>
        <w:t xml:space="preserve"> Alaskans and other US </w:t>
      </w:r>
      <w:r>
        <w:rPr>
          <w:rFonts w:eastAsia="Calibri"/>
          <w:u w:val="single"/>
        </w:rPr>
        <w:t>residents</w:t>
      </w:r>
      <w:r>
        <w:rPr>
          <w:rFonts w:eastAsia="Calibri"/>
          <w:sz w:val="16"/>
          <w:szCs w:val="16"/>
          <w:u w:val="single"/>
        </w:rPr>
        <w:t xml:space="preserve">. Generally, </w:t>
      </w:r>
      <w:r>
        <w:rPr>
          <w:rFonts w:eastAsia="Calibri"/>
          <w:u w:val="single"/>
        </w:rPr>
        <w:t>Alas</w:t>
      </w:r>
      <w:r>
        <w:rPr>
          <w:rFonts w:eastAsia="Calibri"/>
          <w:sz w:val="24"/>
          <w:szCs w:val="24"/>
          <w:highlight w:val="green"/>
          <w:u w:val="single"/>
        </w:rPr>
        <w:t xml:space="preserve">ka Natives have a </w:t>
      </w:r>
      <w:r>
        <w:rPr>
          <w:rFonts w:eastAsia="Calibri"/>
          <w:b/>
          <w:bCs/>
          <w:sz w:val="24"/>
          <w:szCs w:val="24"/>
          <w:highlight w:val="green"/>
          <w:u w:val="single"/>
        </w:rPr>
        <w:t>lower life expectancy</w:t>
      </w:r>
      <w:r>
        <w:rPr>
          <w:rFonts w:eastAsia="Calibri"/>
          <w:sz w:val="24"/>
          <w:szCs w:val="24"/>
          <w:u w:val="single"/>
        </w:rPr>
        <w:t xml:space="preserve">, increased risk of </w:t>
      </w:r>
      <w:r>
        <w:rPr>
          <w:rFonts w:eastAsia="Calibri"/>
          <w:b/>
          <w:bCs/>
          <w:sz w:val="24"/>
          <w:szCs w:val="24"/>
          <w:u w:val="single"/>
        </w:rPr>
        <w:t>cardiovascular disease</w:t>
      </w:r>
      <w:r>
        <w:rPr>
          <w:rFonts w:eastAsia="Calibri"/>
          <w:sz w:val="24"/>
          <w:szCs w:val="24"/>
          <w:u w:val="single"/>
        </w:rPr>
        <w:t xml:space="preserve">, and an </w:t>
      </w:r>
      <w:r>
        <w:rPr>
          <w:rFonts w:eastAsia="Calibri"/>
          <w:b/>
          <w:bCs/>
          <w:sz w:val="24"/>
          <w:szCs w:val="24"/>
          <w:u w:val="single"/>
        </w:rPr>
        <w:t>elevated burden of infectious disease</w:t>
      </w:r>
      <w:r>
        <w:rPr>
          <w:rFonts w:eastAsia="Calibri"/>
          <w:sz w:val="24"/>
          <w:szCs w:val="24"/>
          <w:u w:val="single"/>
        </w:rPr>
        <w:t>.</w:t>
      </w:r>
      <w:r>
        <w:rPr>
          <w:rFonts w:eastAsia="Calibri"/>
          <w:sz w:val="16"/>
          <w:szCs w:val="16"/>
          <w:u w:val="single"/>
        </w:rPr>
        <w:t xml:space="preserve">21) </w:t>
      </w:r>
      <w:r>
        <w:rPr>
          <w:rFonts w:eastAsia="Calibri"/>
          <w:u w:val="single"/>
        </w:rPr>
        <w:t xml:space="preserve">By </w:t>
      </w:r>
      <w:r>
        <w:rPr>
          <w:rFonts w:eastAsia="Calibri"/>
          <w:sz w:val="24"/>
          <w:szCs w:val="24"/>
          <w:highlight w:val="green"/>
          <w:u w:val="single"/>
        </w:rPr>
        <w:t xml:space="preserve">exacerbating </w:t>
      </w:r>
      <w:r>
        <w:rPr>
          <w:rFonts w:eastAsia="Calibri"/>
          <w:b/>
          <w:bCs/>
          <w:sz w:val="24"/>
          <w:szCs w:val="24"/>
          <w:highlight w:val="green"/>
          <w:u w:val="single"/>
        </w:rPr>
        <w:t>food insecurity</w:t>
      </w:r>
      <w:r>
        <w:rPr>
          <w:rFonts w:eastAsia="Calibri"/>
          <w:sz w:val="24"/>
          <w:szCs w:val="24"/>
          <w:u w:val="single"/>
        </w:rPr>
        <w:t xml:space="preserve">, the negative impacts of resource development may contribute to and </w:t>
      </w:r>
      <w:r>
        <w:rPr>
          <w:rFonts w:eastAsia="Calibri"/>
          <w:b/>
          <w:bCs/>
          <w:sz w:val="24"/>
          <w:szCs w:val="24"/>
          <w:u w:val="single"/>
        </w:rPr>
        <w:t>worsen health outcomes</w:t>
      </w:r>
      <w:r>
        <w:rPr>
          <w:rFonts w:eastAsia="Calibri"/>
          <w:sz w:val="24"/>
          <w:szCs w:val="24"/>
          <w:u w:val="single"/>
        </w:rPr>
        <w:t>.</w:t>
      </w:r>
      <w:r>
        <w:rPr>
          <w:rFonts w:eastAsia="Calibri"/>
          <w:sz w:val="16"/>
          <w:szCs w:val="16"/>
          <w:u w:val="single"/>
        </w:rPr>
        <w:t xml:space="preserve"> </w:t>
      </w:r>
      <w:r>
        <w:rPr>
          <w:rFonts w:eastAsia="Calibri"/>
          <w:sz w:val="24"/>
          <w:szCs w:val="24"/>
          <w:u w:val="single"/>
        </w:rPr>
        <w:t>Many</w:t>
      </w:r>
      <w:r>
        <w:rPr>
          <w:rFonts w:eastAsia="Calibri"/>
          <w:sz w:val="16"/>
          <w:szCs w:val="16"/>
          <w:u w:val="single"/>
        </w:rPr>
        <w:t xml:space="preserve"> of these disparities </w:t>
      </w:r>
      <w:r>
        <w:rPr>
          <w:rFonts w:eastAsia="Calibri"/>
          <w:u w:val="single"/>
        </w:rPr>
        <w:t xml:space="preserve">are </w:t>
      </w:r>
      <w:r>
        <w:rPr>
          <w:rFonts w:eastAsia="Calibri"/>
          <w:sz w:val="24"/>
          <w:szCs w:val="24"/>
          <w:highlight w:val="green"/>
          <w:u w:val="single"/>
        </w:rPr>
        <w:t>rooted in</w:t>
      </w:r>
      <w:r>
        <w:rPr>
          <w:rFonts w:eastAsia="Calibri"/>
          <w:sz w:val="16"/>
          <w:szCs w:val="16"/>
          <w:u w:val="single"/>
        </w:rPr>
        <w:t xml:space="preserve"> the history of </w:t>
      </w:r>
      <w:r>
        <w:rPr>
          <w:rFonts w:eastAsia="Calibri"/>
          <w:u w:val="single"/>
        </w:rPr>
        <w:t>colonialism</w:t>
      </w:r>
      <w:r>
        <w:rPr>
          <w:rFonts w:eastAsia="Calibri"/>
          <w:sz w:val="16"/>
          <w:szCs w:val="16"/>
          <w:u w:val="single"/>
        </w:rPr>
        <w:t xml:space="preserve"> </w:t>
      </w:r>
      <w:r>
        <w:rPr>
          <w:rFonts w:eastAsia="Calibri"/>
          <w:sz w:val="24"/>
          <w:szCs w:val="24"/>
          <w:u w:val="single"/>
        </w:rPr>
        <w:t>and</w:t>
      </w:r>
      <w:r>
        <w:rPr>
          <w:rFonts w:eastAsia="Calibri"/>
          <w:sz w:val="16"/>
          <w:szCs w:val="16"/>
          <w:u w:val="single"/>
        </w:rPr>
        <w:t xml:space="preserve"> </w:t>
      </w:r>
      <w:r>
        <w:rPr>
          <w:rFonts w:eastAsia="Calibri"/>
          <w:sz w:val="24"/>
          <w:szCs w:val="24"/>
          <w:u w:val="single"/>
        </w:rPr>
        <w:t>socio-political marginalization</w:t>
      </w:r>
      <w:r>
        <w:rPr>
          <w:rFonts w:eastAsia="Calibri"/>
          <w:sz w:val="16"/>
          <w:szCs w:val="16"/>
          <w:u w:val="single"/>
        </w:rPr>
        <w:t xml:space="preserve">; in addition, </w:t>
      </w:r>
      <w:r>
        <w:rPr>
          <w:rFonts w:eastAsia="Calibri"/>
          <w:u w:val="single"/>
        </w:rPr>
        <w:t>their persistence today may be attributed to the disproportionate exposure to environmental health hazards</w:t>
      </w:r>
      <w:r>
        <w:rPr>
          <w:rFonts w:eastAsia="Calibri"/>
          <w:sz w:val="16"/>
          <w:szCs w:val="16"/>
          <w:u w:val="single"/>
        </w:rPr>
        <w:t xml:space="preserve">.22) Moreover, some researchers have found that </w:t>
      </w:r>
      <w:r>
        <w:rPr>
          <w:rFonts w:eastAsia="Calibri"/>
          <w:u w:val="single"/>
        </w:rPr>
        <w:t>health data fails to produce a holistic picture of well-being, suggesting that there must be a greater consideration for context-specific understandings of health status</w:t>
      </w:r>
      <w:r>
        <w:rPr>
          <w:rFonts w:eastAsia="Calibri"/>
          <w:sz w:val="16"/>
          <w:szCs w:val="16"/>
          <w:u w:val="single"/>
        </w:rPr>
        <w:t xml:space="preserve">.23) Importantly, </w:t>
      </w:r>
      <w:r>
        <w:rPr>
          <w:rFonts w:eastAsia="Calibri"/>
          <w:u w:val="single"/>
        </w:rPr>
        <w:t xml:space="preserve">the </w:t>
      </w:r>
      <w:r>
        <w:rPr>
          <w:rFonts w:eastAsia="Calibri"/>
          <w:sz w:val="24"/>
          <w:szCs w:val="24"/>
          <w:highlight w:val="green"/>
          <w:u w:val="single"/>
        </w:rPr>
        <w:t>effects</w:t>
      </w:r>
      <w:r>
        <w:rPr>
          <w:rFonts w:eastAsia="Calibri"/>
          <w:sz w:val="24"/>
          <w:szCs w:val="24"/>
          <w:u w:val="single"/>
        </w:rPr>
        <w:t xml:space="preserve"> of resource development are </w:t>
      </w:r>
      <w:r>
        <w:rPr>
          <w:rFonts w:eastAsia="Calibri"/>
          <w:sz w:val="24"/>
          <w:szCs w:val="24"/>
          <w:highlight w:val="green"/>
          <w:u w:val="single"/>
        </w:rPr>
        <w:t>not felt uniformly</w:t>
      </w:r>
      <w:r>
        <w:rPr>
          <w:rFonts w:eastAsia="Calibri"/>
          <w:sz w:val="24"/>
          <w:szCs w:val="24"/>
          <w:u w:val="single"/>
        </w:rPr>
        <w:t xml:space="preserve"> by Alaska Natives</w:t>
      </w:r>
      <w:r>
        <w:rPr>
          <w:rFonts w:eastAsia="Calibri"/>
          <w:sz w:val="16"/>
          <w:szCs w:val="16"/>
          <w:u w:val="single"/>
        </w:rPr>
        <w:t xml:space="preserve">. Instead, </w:t>
      </w:r>
      <w:r>
        <w:rPr>
          <w:rFonts w:eastAsia="Calibri"/>
          <w:u w:val="single"/>
        </w:rPr>
        <w:t>various facets of identity among individuals and communities impact how they relate to extractive activities</w:t>
      </w:r>
      <w:r>
        <w:rPr>
          <w:rFonts w:eastAsia="Calibri"/>
          <w:sz w:val="16"/>
          <w:szCs w:val="16"/>
          <w:u w:val="single"/>
        </w:rPr>
        <w:t xml:space="preserve">. </w:t>
      </w:r>
      <w:r>
        <w:rPr>
          <w:rFonts w:eastAsia="Calibri"/>
          <w:u w:val="single"/>
        </w:rPr>
        <w:t>Socioeconomic class divisions</w:t>
      </w:r>
      <w:r>
        <w:rPr>
          <w:rFonts w:eastAsia="Calibri"/>
          <w:sz w:val="16"/>
          <w:szCs w:val="16"/>
          <w:u w:val="single"/>
        </w:rPr>
        <w:t xml:space="preserve">,24) </w:t>
      </w:r>
      <w:r>
        <w:rPr>
          <w:rFonts w:eastAsia="Calibri"/>
          <w:u w:val="single"/>
        </w:rPr>
        <w:t>gender identity</w:t>
      </w:r>
      <w:r>
        <w:rPr>
          <w:rFonts w:eastAsia="Calibri"/>
          <w:sz w:val="16"/>
          <w:szCs w:val="16"/>
          <w:u w:val="single"/>
        </w:rPr>
        <w:t xml:space="preserve">,25) </w:t>
      </w:r>
      <w:r>
        <w:rPr>
          <w:rFonts w:eastAsia="Calibri"/>
          <w:u w:val="single"/>
        </w:rPr>
        <w:t>one’s location in a rural versus urban setting</w:t>
      </w:r>
      <w:r>
        <w:rPr>
          <w:rFonts w:eastAsia="Calibri"/>
          <w:sz w:val="16"/>
          <w:szCs w:val="16"/>
          <w:u w:val="single"/>
        </w:rPr>
        <w:t xml:space="preserve">,26) </w:t>
      </w:r>
      <w:r>
        <w:rPr>
          <w:rFonts w:eastAsia="Calibri"/>
          <w:u w:val="single"/>
        </w:rPr>
        <w:t>and many other factors can all impact how resource development is experienced</w:t>
      </w:r>
      <w:r>
        <w:rPr>
          <w:rFonts w:eastAsia="Calibri"/>
          <w:sz w:val="16"/>
          <w:szCs w:val="16"/>
          <w:u w:val="single"/>
        </w:rPr>
        <w:t xml:space="preserve">. </w:t>
      </w:r>
      <w:r>
        <w:rPr>
          <w:rFonts w:eastAsia="Calibri"/>
          <w:u w:val="single"/>
        </w:rPr>
        <w:t xml:space="preserve">The </w:t>
      </w:r>
      <w:r>
        <w:rPr>
          <w:rFonts w:eastAsia="Calibri"/>
          <w:b/>
          <w:bCs/>
          <w:sz w:val="24"/>
          <w:szCs w:val="24"/>
          <w:u w:val="single"/>
        </w:rPr>
        <w:t>complexity</w:t>
      </w:r>
      <w:r>
        <w:rPr>
          <w:rFonts w:eastAsia="Calibri"/>
          <w:sz w:val="24"/>
          <w:szCs w:val="24"/>
          <w:u w:val="single"/>
        </w:rPr>
        <w:t xml:space="preserve"> of the relationship</w:t>
      </w:r>
      <w:r>
        <w:rPr>
          <w:rFonts w:eastAsia="Calibri"/>
          <w:sz w:val="16"/>
          <w:szCs w:val="16"/>
          <w:u w:val="single"/>
        </w:rPr>
        <w:t xml:space="preserve"> between resource development and Indigenous populations, and the diversity within the Alaska Native population, </w:t>
      </w:r>
      <w:r>
        <w:rPr>
          <w:rFonts w:eastAsia="Calibri"/>
          <w:b/>
          <w:bCs/>
          <w:highlight w:val="green"/>
          <w:u w:val="single"/>
        </w:rPr>
        <w:t>must not be ignored</w:t>
      </w:r>
      <w:r>
        <w:rPr>
          <w:rFonts w:eastAsia="Calibri"/>
          <w:u w:val="single"/>
        </w:rPr>
        <w:t xml:space="preserve"> or simplified</w:t>
      </w:r>
      <w:r>
        <w:rPr>
          <w:rFonts w:eastAsia="Calibri"/>
          <w:sz w:val="16"/>
          <w:szCs w:val="16"/>
          <w:u w:val="single"/>
        </w:rPr>
        <w:t xml:space="preserve">. </w:t>
      </w:r>
      <w:r>
        <w:rPr>
          <w:rFonts w:eastAsia="Calibri"/>
          <w:u w:val="single"/>
        </w:rPr>
        <w:t xml:space="preserve"> </w:t>
      </w:r>
    </w:p>
    <w:p w14:paraId="7D1B3644" w14:textId="77777777" w:rsidR="00884C08" w:rsidRDefault="00884C08" w:rsidP="00884C08">
      <w:pPr>
        <w:spacing w:line="240" w:lineRule="auto"/>
        <w:rPr>
          <w:rFonts w:eastAsia="Calibri"/>
          <w:sz w:val="24"/>
          <w:szCs w:val="24"/>
        </w:rPr>
      </w:pPr>
      <w:r>
        <w:rPr>
          <w:rFonts w:eastAsia="Calibri"/>
          <w:b/>
          <w:bCs/>
          <w:u w:val="single"/>
        </w:rPr>
        <w:t xml:space="preserve">To decolonize resource development, </w:t>
      </w:r>
      <w:r>
        <w:rPr>
          <w:rFonts w:eastAsia="Calibri"/>
          <w:b/>
          <w:bCs/>
          <w:highlight w:val="green"/>
          <w:u w:val="single"/>
        </w:rPr>
        <w:t>Alaska Native populations must have greater control</w:t>
      </w:r>
      <w:r>
        <w:rPr>
          <w:rFonts w:eastAsia="Calibri"/>
          <w:b/>
          <w:bCs/>
          <w:u w:val="single"/>
        </w:rPr>
        <w:t xml:space="preserve"> over the process. In other words, one overarching aim of decolonization in practice is Indigenous sovereignty. </w:t>
      </w:r>
      <w:r>
        <w:rPr>
          <w:rFonts w:eastAsia="Calibri"/>
          <w:sz w:val="24"/>
          <w:szCs w:val="24"/>
        </w:rPr>
        <w:t xml:space="preserve">However, (neo)colonial narratives shape and are ingrained within the traditional concept of state-centered sovereignty. Within this concept, </w:t>
      </w:r>
      <w:r>
        <w:rPr>
          <w:rFonts w:eastAsia="Calibri"/>
          <w:b/>
          <w:bCs/>
          <w:u w:val="single"/>
        </w:rPr>
        <w:t xml:space="preserve">the aims of the government are continually prioritized; a hierarchy is established whereby the interests and concerns of the state are given primacy.27) This dynamic is one of the reasons why, in the case of Alaska and Alaska Native populations, </w:t>
      </w:r>
      <w:r>
        <w:rPr>
          <w:rFonts w:eastAsia="Calibri"/>
          <w:b/>
          <w:bCs/>
          <w:highlight w:val="green"/>
          <w:u w:val="single"/>
        </w:rPr>
        <w:t>resource development continues</w:t>
      </w:r>
      <w:r>
        <w:rPr>
          <w:rFonts w:eastAsia="Calibri"/>
          <w:b/>
          <w:bCs/>
          <w:u w:val="single"/>
        </w:rPr>
        <w:t xml:space="preserve"> to be experienced</w:t>
      </w:r>
      <w:r>
        <w:rPr>
          <w:rFonts w:eastAsia="Calibri"/>
          <w:b/>
          <w:bCs/>
          <w:highlight w:val="green"/>
          <w:u w:val="single"/>
        </w:rPr>
        <w:t xml:space="preserve"> as a colonial enterprise</w:t>
      </w:r>
      <w:r>
        <w:rPr>
          <w:rFonts w:eastAsia="Calibri"/>
          <w:b/>
          <w:bCs/>
          <w:u w:val="single"/>
        </w:rPr>
        <w:t>. The gains from extractive activities do not necessarily or primarily benefit Alaska Native populations,28) and the interests of outside actors are prioritized.29) Oftentimes, wealth from resource development has been extracted from northern regions to benefit other populations.30) An evaluation of the Red Dog Mine in northwest Alaska, for instance, found that the local population received a relatively modest share of benefits in terms of employment, income, and mobility.31)</w:t>
      </w:r>
    </w:p>
    <w:p w14:paraId="17FDD713" w14:textId="77777777" w:rsidR="00884C08" w:rsidRDefault="00884C08" w:rsidP="00884C08">
      <w:pPr>
        <w:spacing w:before="240" w:after="240" w:line="240" w:lineRule="auto"/>
        <w:rPr>
          <w:rFonts w:eastAsia="Calibri"/>
          <w:sz w:val="24"/>
          <w:szCs w:val="24"/>
        </w:rPr>
      </w:pPr>
      <w:r>
        <w:rPr>
          <w:rFonts w:eastAsia="Calibri"/>
          <w:b/>
          <w:bCs/>
          <w:u w:val="single"/>
        </w:rPr>
        <w:t xml:space="preserve">As established through ANCSA, the Regional Corporations are the primary route for Alaska Native participation in governing resource development in the US Arctic. These corporations, however, operate under US corporate law and, therefore, within the frameworks of the capitalist order. Participation through the structure of the Regional Corporations, thus, limits the opportunity for Alaska Native populations to achieve self-determination outside of those conventions. In action, considering the embeddedness of the corporations within the capitalist and colonial dynamics of the state, </w:t>
      </w:r>
      <w:r>
        <w:rPr>
          <w:rFonts w:eastAsia="Calibri"/>
          <w:b/>
          <w:bCs/>
          <w:highlight w:val="green"/>
          <w:u w:val="single"/>
        </w:rPr>
        <w:t>decolonization</w:t>
      </w:r>
      <w:r>
        <w:rPr>
          <w:rFonts w:eastAsia="Calibri"/>
          <w:b/>
          <w:bCs/>
          <w:u w:val="single"/>
        </w:rPr>
        <w:t xml:space="preserve"> may </w:t>
      </w:r>
      <w:r>
        <w:rPr>
          <w:rFonts w:eastAsia="Calibri"/>
          <w:b/>
          <w:bCs/>
          <w:highlight w:val="green"/>
          <w:u w:val="single"/>
        </w:rPr>
        <w:t>necessitate enhancing</w:t>
      </w:r>
      <w:r>
        <w:rPr>
          <w:rFonts w:eastAsia="Calibri"/>
          <w:b/>
          <w:bCs/>
          <w:u w:val="single"/>
        </w:rPr>
        <w:t xml:space="preserve"> the </w:t>
      </w:r>
      <w:r>
        <w:rPr>
          <w:rFonts w:eastAsia="Calibri"/>
          <w:b/>
          <w:bCs/>
          <w:highlight w:val="green"/>
          <w:u w:val="single"/>
        </w:rPr>
        <w:t>power of and regard for local governments rather than governing resource development</w:t>
      </w:r>
      <w:r>
        <w:rPr>
          <w:rFonts w:eastAsia="Calibri"/>
          <w:b/>
          <w:bCs/>
          <w:u w:val="single"/>
        </w:rPr>
        <w:t xml:space="preserve"> principally through the Regional Corporations.</w:t>
      </w:r>
    </w:p>
    <w:p w14:paraId="0030BDDC" w14:textId="77777777" w:rsidR="00884C08" w:rsidRDefault="00884C08" w:rsidP="00884C08">
      <w:pPr>
        <w:spacing w:before="240" w:after="240" w:line="240" w:lineRule="auto"/>
        <w:rPr>
          <w:rFonts w:eastAsia="Calibri"/>
          <w:sz w:val="24"/>
          <w:szCs w:val="24"/>
        </w:rPr>
      </w:pPr>
      <w:r>
        <w:rPr>
          <w:rFonts w:eastAsia="Calibri"/>
          <w:sz w:val="24"/>
          <w:szCs w:val="24"/>
        </w:rPr>
        <w:t>Prioritization of Western knowledge and conventions</w:t>
      </w:r>
    </w:p>
    <w:p w14:paraId="68F05F1C" w14:textId="77777777" w:rsidR="00884C08" w:rsidRDefault="00884C08" w:rsidP="00884C08">
      <w:pPr>
        <w:spacing w:before="240" w:after="240" w:line="240" w:lineRule="auto"/>
        <w:rPr>
          <w:rFonts w:eastAsia="Calibri"/>
          <w:sz w:val="24"/>
          <w:szCs w:val="24"/>
          <w:highlight w:val="green"/>
        </w:rPr>
      </w:pPr>
      <w:r>
        <w:rPr>
          <w:rFonts w:eastAsia="Calibri"/>
          <w:b/>
          <w:bCs/>
          <w:sz w:val="24"/>
          <w:szCs w:val="24"/>
          <w:u w:val="single"/>
        </w:rPr>
        <w:t xml:space="preserve">A deep-rooted </w:t>
      </w:r>
      <w:r>
        <w:rPr>
          <w:rFonts w:eastAsia="Calibri"/>
          <w:b/>
          <w:bCs/>
          <w:sz w:val="24"/>
          <w:szCs w:val="24"/>
          <w:highlight w:val="green"/>
          <w:u w:val="single"/>
        </w:rPr>
        <w:t>colonial mentality</w:t>
      </w:r>
      <w:r>
        <w:rPr>
          <w:rFonts w:eastAsia="Calibri"/>
          <w:sz w:val="24"/>
          <w:szCs w:val="24"/>
        </w:rPr>
        <w:t xml:space="preserve"> that remains pervasive is the assumed supremacy of a Western knowledge system. </w:t>
      </w:r>
      <w:r>
        <w:rPr>
          <w:rFonts w:eastAsia="Calibri"/>
          <w:b/>
          <w:bCs/>
          <w:u w:val="single"/>
        </w:rPr>
        <w:t>This</w:t>
      </w:r>
      <w:r>
        <w:rPr>
          <w:rFonts w:eastAsia="Calibri"/>
          <w:b/>
          <w:bCs/>
          <w:highlight w:val="green"/>
          <w:u w:val="single"/>
        </w:rPr>
        <w:t xml:space="preserve"> creates a paternalistic relationship wherein decisions are made </w:t>
      </w:r>
      <w:r>
        <w:rPr>
          <w:rFonts w:eastAsia="Calibri"/>
          <w:b/>
          <w:bCs/>
          <w:highlight w:val="green"/>
          <w:u w:val="single"/>
        </w:rPr>
        <w:lastRenderedPageBreak/>
        <w:t>by external ‘experts</w:t>
      </w:r>
      <w:r>
        <w:rPr>
          <w:rFonts w:eastAsia="Calibri"/>
          <w:b/>
          <w:bCs/>
          <w:u w:val="single"/>
        </w:rPr>
        <w:t xml:space="preserve">’ and imposed upon the Indigenous population. In short, Indigenous ways of knowing are undermined.32) The term Indigenous knowledge is defined as “the understandings, skills and philosophies developed by societies with long histories of interaction with their natural surroundings”.33) </w:t>
      </w:r>
      <w:r>
        <w:rPr>
          <w:rFonts w:eastAsia="Calibri"/>
          <w:b/>
          <w:bCs/>
          <w:highlight w:val="green"/>
          <w:u w:val="single"/>
        </w:rPr>
        <w:t>Efforts</w:t>
      </w:r>
      <w:r>
        <w:rPr>
          <w:rFonts w:eastAsia="Calibri"/>
          <w:b/>
          <w:bCs/>
          <w:u w:val="single"/>
        </w:rPr>
        <w:t xml:space="preserve"> to decolonize resource development</w:t>
      </w:r>
      <w:r>
        <w:rPr>
          <w:rFonts w:eastAsia="Calibri"/>
          <w:b/>
          <w:bCs/>
          <w:highlight w:val="green"/>
          <w:u w:val="single"/>
        </w:rPr>
        <w:t xml:space="preserve"> in </w:t>
      </w:r>
      <w:r>
        <w:rPr>
          <w:rFonts w:eastAsia="Calibri"/>
          <w:b/>
          <w:bCs/>
          <w:u w:val="single"/>
        </w:rPr>
        <w:t>the US A</w:t>
      </w:r>
      <w:r>
        <w:rPr>
          <w:rFonts w:eastAsia="Calibri"/>
          <w:b/>
          <w:bCs/>
          <w:highlight w:val="green"/>
          <w:u w:val="single"/>
        </w:rPr>
        <w:t>rctic must not only embrace these different worldviews, perspectives, and knowledge systems, but put them first.</w:t>
      </w:r>
    </w:p>
    <w:p w14:paraId="687DAC3B" w14:textId="77777777" w:rsidR="00884C08" w:rsidRDefault="00884C08" w:rsidP="00884C08">
      <w:pPr>
        <w:spacing w:before="240" w:after="240" w:line="240" w:lineRule="auto"/>
        <w:rPr>
          <w:rFonts w:eastAsia="Calibri"/>
          <w:sz w:val="24"/>
          <w:szCs w:val="24"/>
        </w:rPr>
      </w:pPr>
      <w:r>
        <w:rPr>
          <w:rFonts w:eastAsia="Calibri"/>
          <w:b/>
          <w:bCs/>
          <w:u w:val="single"/>
        </w:rPr>
        <w:t xml:space="preserve">There is also a </w:t>
      </w:r>
      <w:r>
        <w:rPr>
          <w:rFonts w:eastAsia="Calibri"/>
          <w:b/>
          <w:bCs/>
          <w:highlight w:val="green"/>
          <w:u w:val="single"/>
        </w:rPr>
        <w:t>tendency to assume</w:t>
      </w:r>
      <w:r>
        <w:rPr>
          <w:rFonts w:eastAsia="Calibri"/>
          <w:b/>
          <w:bCs/>
          <w:u w:val="single"/>
        </w:rPr>
        <w:t xml:space="preserve"> that the </w:t>
      </w:r>
      <w:r>
        <w:rPr>
          <w:rFonts w:eastAsia="Calibri"/>
          <w:b/>
          <w:bCs/>
          <w:highlight w:val="green"/>
          <w:u w:val="single"/>
        </w:rPr>
        <w:t xml:space="preserve">only route to </w:t>
      </w:r>
      <w:r>
        <w:rPr>
          <w:rFonts w:eastAsia="Calibri"/>
          <w:b/>
          <w:bCs/>
          <w:u w:val="single"/>
        </w:rPr>
        <w:t xml:space="preserve">achieving greater material benefits or </w:t>
      </w:r>
      <w:r>
        <w:rPr>
          <w:rFonts w:eastAsia="Calibri"/>
          <w:b/>
          <w:bCs/>
          <w:highlight w:val="green"/>
          <w:u w:val="single"/>
        </w:rPr>
        <w:t>power</w:t>
      </w:r>
      <w:r>
        <w:rPr>
          <w:rFonts w:eastAsia="Calibri"/>
          <w:b/>
          <w:bCs/>
          <w:u w:val="single"/>
        </w:rPr>
        <w:t xml:space="preserve"> </w:t>
      </w:r>
      <w:r>
        <w:rPr>
          <w:rFonts w:eastAsia="Calibri"/>
          <w:b/>
          <w:bCs/>
          <w:highlight w:val="green"/>
          <w:u w:val="single"/>
        </w:rPr>
        <w:t>is</w:t>
      </w:r>
      <w:r>
        <w:rPr>
          <w:rFonts w:eastAsia="Calibri"/>
          <w:b/>
          <w:bCs/>
          <w:u w:val="single"/>
        </w:rPr>
        <w:t xml:space="preserve"> to adopt a </w:t>
      </w:r>
      <w:r>
        <w:rPr>
          <w:rFonts w:eastAsia="Calibri"/>
          <w:b/>
          <w:bCs/>
          <w:highlight w:val="green"/>
          <w:u w:val="single"/>
        </w:rPr>
        <w:t>capitalist economy.</w:t>
      </w:r>
      <w:r>
        <w:rPr>
          <w:rFonts w:eastAsia="Calibri"/>
          <w:b/>
          <w:bCs/>
          <w:u w:val="single"/>
        </w:rPr>
        <w:t xml:space="preserve"> What</w:t>
      </w:r>
      <w:r>
        <w:rPr>
          <w:rFonts w:eastAsia="Calibri"/>
          <w:sz w:val="24"/>
          <w:szCs w:val="24"/>
        </w:rPr>
        <w:t xml:space="preserve"> Aníbal Quijano—one of the preeminent thinkers of decolonization theory—terms ‘cultural Europeanisation,’ but can be understood as colonial Western society more broadly, is taken as universal and synonymous with being ‘developed’.34) Before ANCSA was passed in 1971, Alaska Native populations had primarily engaged in subsistence activities. Since the settlement of land claims agreements, Alaska Native populations are increasingly entrenched in the capitalist economy, especially via resource development. Today, most Indigenous people in Alaska engage in a mixed economy, meaning a combination of both subsistence and market-based activities.35) A desire to obtain the benefits from natural resource extraction on Indigenous lands is a primary reason for this growth in capitalist engagement.36) Through a decolonization lens, it is understood that following the rhetoric and logic of Western society is a way to “reach the same material benefits and the same power as the Europeans: viz, to conquer nature in short for ‘development’”.37) This model of development, however, has proven “environmentally calamitous on the global scale”,38) made even more dire by the rapid impact of climate change throughout the Arctic.</w:t>
      </w:r>
    </w:p>
    <w:p w14:paraId="384553B6" w14:textId="77777777" w:rsidR="00884C08" w:rsidRDefault="00884C08" w:rsidP="00884C08">
      <w:pPr>
        <w:spacing w:before="240" w:after="240" w:line="240" w:lineRule="auto"/>
        <w:rPr>
          <w:rFonts w:eastAsia="Calibri"/>
          <w:b/>
          <w:bCs/>
          <w:sz w:val="24"/>
          <w:szCs w:val="24"/>
        </w:rPr>
      </w:pPr>
      <w:r>
        <w:rPr>
          <w:rFonts w:eastAsia="Calibri"/>
          <w:b/>
          <w:bCs/>
          <w:sz w:val="24"/>
          <w:szCs w:val="24"/>
        </w:rPr>
        <w:t>Conceptualizing Indigenous sovereignty</w:t>
      </w:r>
    </w:p>
    <w:p w14:paraId="56A945C2" w14:textId="77777777" w:rsidR="00884C08" w:rsidRDefault="00884C08" w:rsidP="00884C08">
      <w:pPr>
        <w:spacing w:before="240" w:after="240" w:line="240" w:lineRule="auto"/>
        <w:rPr>
          <w:rFonts w:eastAsia="Calibri"/>
          <w:sz w:val="24"/>
          <w:szCs w:val="24"/>
          <w:highlight w:val="green"/>
        </w:rPr>
      </w:pPr>
      <w:r>
        <w:rPr>
          <w:rFonts w:eastAsia="Calibri"/>
          <w:b/>
          <w:bCs/>
          <w:u w:val="single"/>
        </w:rPr>
        <w:t xml:space="preserve">Notions of </w:t>
      </w:r>
      <w:r>
        <w:rPr>
          <w:rFonts w:eastAsia="Calibri"/>
          <w:b/>
          <w:bCs/>
          <w:highlight w:val="green"/>
          <w:u w:val="single"/>
        </w:rPr>
        <w:t>Indigenous sovereignty</w:t>
      </w:r>
      <w:r>
        <w:rPr>
          <w:rFonts w:eastAsia="Calibri"/>
          <w:b/>
          <w:bCs/>
          <w:u w:val="single"/>
        </w:rPr>
        <w:t xml:space="preserve"> are </w:t>
      </w:r>
      <w:r>
        <w:rPr>
          <w:rFonts w:eastAsia="Calibri"/>
          <w:b/>
          <w:bCs/>
          <w:highlight w:val="green"/>
          <w:u w:val="single"/>
        </w:rPr>
        <w:t>connected t</w:t>
      </w:r>
      <w:r>
        <w:rPr>
          <w:rFonts w:eastAsia="Calibri"/>
          <w:b/>
          <w:bCs/>
          <w:u w:val="single"/>
        </w:rPr>
        <w:t>o the right to</w:t>
      </w:r>
      <w:r>
        <w:rPr>
          <w:rFonts w:eastAsia="Calibri"/>
          <w:b/>
          <w:bCs/>
          <w:highlight w:val="green"/>
          <w:u w:val="single"/>
        </w:rPr>
        <w:t xml:space="preserve"> self-determination.</w:t>
      </w:r>
      <w:r>
        <w:rPr>
          <w:rFonts w:eastAsia="Calibri"/>
          <w:b/>
          <w:bCs/>
          <w:u w:val="single"/>
        </w:rPr>
        <w:t xml:space="preserve"> Decolonization must seek the conceptualization and expression of Indigenous sovereignty outside of the western hegemony and enduring colonial structures; self-determination and sovereignty are limited when they can only be articulated within the existing capitalist order.</w:t>
      </w:r>
      <w:r>
        <w:rPr>
          <w:rFonts w:eastAsia="Calibri"/>
          <w:sz w:val="24"/>
          <w:szCs w:val="24"/>
        </w:rPr>
        <w:t>39) Dr. Melanie K. Yazzie presents the idea of anti-capitalist decolonization to challenge the “hegemonic formation of ‘extractivism’ and its liberal, capitalist, heteropatriarchal, and settler colonial valance of development”.40) This approach to decolonization seems especially well suited to the Alaskan context as it critiques how resource development is carried out in a capitalist system, instead of presenting resource extraction as something inherently at odds with indigeneity.</w:t>
      </w:r>
      <w:r>
        <w:rPr>
          <w:rFonts w:eastAsia="Calibri"/>
          <w:b/>
          <w:bCs/>
          <w:u w:val="single"/>
        </w:rPr>
        <w:t xml:space="preserve"> Indigenous sovereignty is reliant on the ability of communities to have autonomy over their resources and decision-making, as they have for thousands of years.41) An</w:t>
      </w:r>
      <w:r>
        <w:rPr>
          <w:rFonts w:eastAsia="Calibri"/>
          <w:b/>
          <w:bCs/>
          <w:highlight w:val="green"/>
          <w:u w:val="single"/>
        </w:rPr>
        <w:t xml:space="preserve"> anti-capitalist approach</w:t>
      </w:r>
      <w:r>
        <w:rPr>
          <w:rFonts w:eastAsia="Calibri"/>
          <w:b/>
          <w:bCs/>
          <w:u w:val="single"/>
        </w:rPr>
        <w:t xml:space="preserve"> to decolonization offers a way to </w:t>
      </w:r>
      <w:r>
        <w:rPr>
          <w:rFonts w:eastAsia="Calibri"/>
          <w:b/>
          <w:bCs/>
          <w:highlight w:val="green"/>
          <w:u w:val="single"/>
        </w:rPr>
        <w:t>center Indigenous epistemologies and enable economic, societal, cultural, and political pathways conceptualized and implemented by Alaska Native people themselves.</w:t>
      </w:r>
    </w:p>
    <w:p w14:paraId="36E5F8BF" w14:textId="77777777" w:rsidR="00884C08" w:rsidRDefault="00884C08" w:rsidP="00884C08">
      <w:pPr>
        <w:spacing w:line="240" w:lineRule="auto"/>
        <w:rPr>
          <w:rFonts w:eastAsia="Calibri"/>
          <w:sz w:val="24"/>
          <w:szCs w:val="24"/>
        </w:rPr>
      </w:pPr>
      <w:r>
        <w:rPr>
          <w:rFonts w:eastAsia="Calibri"/>
          <w:sz w:val="24"/>
          <w:szCs w:val="24"/>
        </w:rPr>
        <w:t>The ideas presented throughout this article are applicable well beyond the US Arctic, and beyond the realm of resource development. Interest in exploiting natural resources drove historic colonization throughout the entire Arctic region and the lingering structures and systems of power continue to shape Indigenous lives and limit the capacity of communities and individuals to mold their own destinies. Therefore, interrogating and confronting the ongoing systems and dynamics of colonialism must be prioritized within Arctic engagement and collaboration going forward. In light of the new National Strategy for the Arctic Region—which differs, in one way, from the prior 2013 edition in making no mention of oil or gas42)—there is a need for further research and analysis to identify the implications of this new strategy on efforts to decolonize and achieve Indigenous sovereignty. There is also a need to center and privilege Indigenous voices in this space and, as such, future research must be informed and conceptualized by and for Arctic Indigenous populations.</w:t>
      </w:r>
    </w:p>
    <w:p w14:paraId="2F8485FD" w14:textId="77777777" w:rsidR="00884C08" w:rsidRDefault="00884C08" w:rsidP="00884C08">
      <w:pPr>
        <w:pStyle w:val="Heading4"/>
        <w:keepNext w:val="0"/>
        <w:keepLines w:val="0"/>
        <w:spacing w:line="303" w:lineRule="auto"/>
        <w:rPr>
          <w:rFonts w:eastAsia="Calibri" w:cs="Calibri"/>
          <w:b w:val="0"/>
          <w:bCs/>
          <w:color w:val="000000"/>
          <w:szCs w:val="26"/>
        </w:rPr>
      </w:pPr>
      <w:bookmarkStart w:id="11" w:name="_1zxc7eybay84" w:colFirst="0" w:colLast="0"/>
      <w:bookmarkEnd w:id="11"/>
      <w:r>
        <w:rPr>
          <w:rFonts w:eastAsia="Calibri" w:cs="Calibri"/>
          <w:bCs/>
          <w:color w:val="000000"/>
          <w:szCs w:val="26"/>
        </w:rPr>
        <w:lastRenderedPageBreak/>
        <w:t>Federal recognition and funding is necessary and decolonial praxis - ICCAS are sites of everyday Indigenous resurgence where alternative Indigenous economies, traditional ways of life, and community networks to defend against unwanted colonial development are fostered</w:t>
      </w:r>
    </w:p>
    <w:p w14:paraId="0A150325" w14:textId="77777777" w:rsidR="00884C08" w:rsidRDefault="00884C08" w:rsidP="00884C08">
      <w:pPr>
        <w:shd w:val="clear" w:color="auto" w:fill="FFFFFF"/>
        <w:spacing w:line="240" w:lineRule="auto"/>
        <w:rPr>
          <w:rFonts w:eastAsia="Calibri"/>
          <w:sz w:val="24"/>
          <w:szCs w:val="24"/>
        </w:rPr>
      </w:pPr>
      <w:r>
        <w:rPr>
          <w:rFonts w:eastAsia="Calibri"/>
          <w:b/>
          <w:bCs/>
          <w:sz w:val="24"/>
          <w:szCs w:val="24"/>
        </w:rPr>
        <w:t>Sachs 2021. [</w:t>
      </w:r>
      <w:r>
        <w:rPr>
          <w:rFonts w:eastAsia="Calibri"/>
          <w:sz w:val="24"/>
          <w:szCs w:val="24"/>
        </w:rPr>
        <w:t xml:space="preserve">Cora Sachs, “Decolonizing Conservation? The politics of recognition in Indigenous and Community Conserved Areas (ICCAs). University of Arkansas.] </w:t>
      </w:r>
    </w:p>
    <w:p w14:paraId="632659D0" w14:textId="77777777" w:rsidR="00884C08" w:rsidRDefault="00884C08" w:rsidP="00884C08">
      <w:pPr>
        <w:shd w:val="clear" w:color="auto" w:fill="FFFFFF"/>
        <w:spacing w:line="240" w:lineRule="auto"/>
        <w:rPr>
          <w:rFonts w:eastAsia="Calibri"/>
          <w:sz w:val="24"/>
          <w:szCs w:val="24"/>
        </w:rPr>
      </w:pPr>
      <w:r>
        <w:rPr>
          <w:rFonts w:eastAsia="Calibri"/>
          <w:sz w:val="24"/>
          <w:szCs w:val="24"/>
        </w:rPr>
        <w:t xml:space="preserve"> </w:t>
      </w:r>
    </w:p>
    <w:p w14:paraId="51506351" w14:textId="77777777" w:rsidR="00884C08" w:rsidRDefault="00884C08" w:rsidP="00884C08">
      <w:pPr>
        <w:spacing w:line="240" w:lineRule="auto"/>
        <w:rPr>
          <w:rFonts w:eastAsia="Calibri"/>
          <w:sz w:val="24"/>
          <w:szCs w:val="24"/>
        </w:rPr>
      </w:pPr>
      <w:r>
        <w:rPr>
          <w:rFonts w:eastAsia="Calibri"/>
          <w:sz w:val="16"/>
          <w:szCs w:val="16"/>
        </w:rPr>
        <w:t xml:space="preserve">In many ways, </w:t>
      </w:r>
      <w:r>
        <w:rPr>
          <w:rFonts w:eastAsia="Calibri"/>
          <w:sz w:val="24"/>
          <w:szCs w:val="24"/>
          <w:u w:val="single"/>
        </w:rPr>
        <w:t xml:space="preserve">ICCAs support the decolonization movement. </w:t>
      </w:r>
      <w:r>
        <w:rPr>
          <w:rFonts w:eastAsia="Calibri"/>
          <w:sz w:val="16"/>
          <w:szCs w:val="16"/>
        </w:rPr>
        <w:t>Recalling the visions of</w:t>
      </w:r>
    </w:p>
    <w:p w14:paraId="13FF03B4" w14:textId="77777777" w:rsidR="00884C08" w:rsidRDefault="00884C08" w:rsidP="00884C08">
      <w:pPr>
        <w:spacing w:line="240" w:lineRule="auto"/>
        <w:rPr>
          <w:rFonts w:eastAsia="Calibri"/>
          <w:sz w:val="24"/>
          <w:szCs w:val="24"/>
          <w:highlight w:val="yellow"/>
          <w:u w:val="single"/>
        </w:rPr>
      </w:pPr>
      <w:r>
        <w:rPr>
          <w:rFonts w:eastAsia="Calibri"/>
          <w:sz w:val="24"/>
          <w:szCs w:val="24"/>
        </w:rPr>
        <w:t xml:space="preserve">decolonization discussed in Chapter 3, </w:t>
      </w:r>
      <w:r>
        <w:rPr>
          <w:rFonts w:eastAsia="Calibri"/>
          <w:sz w:val="24"/>
          <w:szCs w:val="24"/>
          <w:highlight w:val="yellow"/>
          <w:u w:val="single"/>
        </w:rPr>
        <w:t>ICCAs reflect decolonial praxis in everyday resistance</w:t>
      </w:r>
    </w:p>
    <w:p w14:paraId="393DCBBC" w14:textId="77777777" w:rsidR="00884C08" w:rsidRDefault="00884C08" w:rsidP="00884C08">
      <w:pPr>
        <w:spacing w:line="240" w:lineRule="auto"/>
        <w:rPr>
          <w:rFonts w:eastAsia="Calibri"/>
          <w:sz w:val="24"/>
          <w:szCs w:val="24"/>
          <w:highlight w:val="yellow"/>
          <w:u w:val="single"/>
        </w:rPr>
      </w:pPr>
      <w:r>
        <w:rPr>
          <w:rFonts w:eastAsia="Calibri"/>
          <w:sz w:val="24"/>
          <w:szCs w:val="24"/>
          <w:highlight w:val="yellow"/>
          <w:u w:val="single"/>
        </w:rPr>
        <w:t>and resurgence.</w:t>
      </w:r>
      <w:r>
        <w:rPr>
          <w:rFonts w:eastAsia="Calibri"/>
          <w:sz w:val="24"/>
          <w:szCs w:val="24"/>
          <w:u w:val="single"/>
        </w:rPr>
        <w:t xml:space="preserve"> The following sections elaborate on how </w:t>
      </w:r>
      <w:r>
        <w:rPr>
          <w:rFonts w:eastAsia="Calibri"/>
          <w:sz w:val="24"/>
          <w:szCs w:val="24"/>
          <w:highlight w:val="yellow"/>
          <w:u w:val="single"/>
        </w:rPr>
        <w:t>ICCAs contribute to decolonization</w:t>
      </w:r>
    </w:p>
    <w:p w14:paraId="12BDBFBF" w14:textId="77777777" w:rsidR="00884C08" w:rsidRDefault="00884C08" w:rsidP="00884C08">
      <w:pPr>
        <w:spacing w:line="240" w:lineRule="auto"/>
        <w:rPr>
          <w:rFonts w:eastAsia="Calibri"/>
          <w:sz w:val="24"/>
          <w:szCs w:val="24"/>
          <w:highlight w:val="yellow"/>
          <w:u w:val="single"/>
        </w:rPr>
      </w:pPr>
      <w:r>
        <w:rPr>
          <w:rFonts w:eastAsia="Calibri"/>
          <w:sz w:val="24"/>
          <w:szCs w:val="24"/>
          <w:highlight w:val="yellow"/>
          <w:u w:val="single"/>
        </w:rPr>
        <w:t xml:space="preserve">through political emancipation </w:t>
      </w:r>
      <w:r>
        <w:rPr>
          <w:rFonts w:eastAsia="Calibri"/>
          <w:sz w:val="24"/>
          <w:szCs w:val="24"/>
          <w:u w:val="single"/>
        </w:rPr>
        <w:t>by establishing an ICCA,</w:t>
      </w:r>
      <w:r>
        <w:rPr>
          <w:rFonts w:eastAsia="Calibri"/>
          <w:sz w:val="24"/>
          <w:szCs w:val="24"/>
          <w:highlight w:val="yellow"/>
          <w:u w:val="single"/>
        </w:rPr>
        <w:t xml:space="preserve"> </w:t>
      </w:r>
      <w:r>
        <w:rPr>
          <w:rFonts w:eastAsia="Calibri"/>
          <w:sz w:val="24"/>
          <w:szCs w:val="24"/>
          <w:u w:val="single"/>
        </w:rPr>
        <w:t>grounding normativity</w:t>
      </w:r>
      <w:r>
        <w:rPr>
          <w:rFonts w:eastAsia="Calibri"/>
          <w:sz w:val="24"/>
          <w:szCs w:val="24"/>
          <w:highlight w:val="yellow"/>
          <w:u w:val="single"/>
        </w:rPr>
        <w:t>, revitalizing</w:t>
      </w:r>
    </w:p>
    <w:p w14:paraId="1471AAB3" w14:textId="77777777" w:rsidR="00884C08" w:rsidRDefault="00884C08" w:rsidP="00884C08">
      <w:pPr>
        <w:spacing w:line="240" w:lineRule="auto"/>
        <w:rPr>
          <w:rFonts w:eastAsia="Calibri"/>
          <w:sz w:val="24"/>
          <w:szCs w:val="24"/>
        </w:rPr>
      </w:pPr>
      <w:r>
        <w:rPr>
          <w:rFonts w:eastAsia="Calibri"/>
          <w:sz w:val="24"/>
          <w:szCs w:val="24"/>
          <w:highlight w:val="yellow"/>
          <w:u w:val="single"/>
        </w:rPr>
        <w:t>alternative political economies, and embodying ontological decolonization.</w:t>
      </w:r>
      <w:r>
        <w:rPr>
          <w:rFonts w:eastAsia="Calibri"/>
          <w:sz w:val="24"/>
          <w:szCs w:val="24"/>
        </w:rPr>
        <w:t xml:space="preserve"> </w:t>
      </w:r>
      <w:r>
        <w:rPr>
          <w:rFonts w:eastAsia="Calibri"/>
          <w:sz w:val="24"/>
          <w:szCs w:val="24"/>
          <w:u w:val="single"/>
        </w:rPr>
        <w:t xml:space="preserve">Though the threats to Indigenous and local peoples’ territories are abundant, </w:t>
      </w:r>
      <w:r>
        <w:rPr>
          <w:rFonts w:eastAsia="Calibri"/>
          <w:sz w:val="24"/>
          <w:szCs w:val="24"/>
          <w:highlight w:val="yellow"/>
          <w:u w:val="single"/>
        </w:rPr>
        <w:t>the declaration and strengthening of an ICCA can provide</w:t>
      </w:r>
      <w:r>
        <w:rPr>
          <w:rFonts w:eastAsia="Calibri"/>
          <w:sz w:val="24"/>
          <w:szCs w:val="24"/>
          <w:u w:val="single"/>
        </w:rPr>
        <w:t xml:space="preserve"> an avenue </w:t>
      </w:r>
      <w:r>
        <w:rPr>
          <w:rFonts w:eastAsia="Calibri"/>
          <w:sz w:val="24"/>
          <w:szCs w:val="24"/>
          <w:highlight w:val="yellow"/>
          <w:u w:val="single"/>
        </w:rPr>
        <w:t>for the defense of territory and life.</w:t>
      </w:r>
      <w:r>
        <w:rPr>
          <w:rFonts w:eastAsia="Calibri"/>
          <w:sz w:val="24"/>
          <w:szCs w:val="24"/>
          <w:u w:val="single"/>
        </w:rPr>
        <w:t xml:space="preserve"> </w:t>
      </w:r>
      <w:r>
        <w:rPr>
          <w:rFonts w:eastAsia="Calibri"/>
          <w:sz w:val="24"/>
          <w:szCs w:val="24"/>
        </w:rPr>
        <w:t xml:space="preserve">Pressures against Indigenous peoples and local communities compound, threatening not only to devalue and destroy Indigenous resources but also Indigenous knowledge and lives. Central to these threats </w:t>
      </w:r>
      <w:r>
        <w:rPr>
          <w:rFonts w:eastAsia="Calibri"/>
          <w:sz w:val="24"/>
          <w:szCs w:val="24"/>
          <w:u w:val="single"/>
        </w:rPr>
        <w:t>is the inability for customary rightsholders to make and enforce land-use plans “in accordance with their own visions and aspirations”, including the undermining of “communities’ customary laws, procedures, and protocols” such as the allowance of “exploitative concessions and other permits in Indigenous territories or communities’ lands without their free, prior, andinformed consent”</w:t>
      </w:r>
      <w:r>
        <w:rPr>
          <w:rFonts w:eastAsia="Calibri"/>
          <w:sz w:val="24"/>
          <w:szCs w:val="24"/>
        </w:rPr>
        <w:t xml:space="preserve"> (Kothari et al., 2012, p. 48), including imposed status as a protected area. </w:t>
      </w:r>
    </w:p>
    <w:p w14:paraId="67AE6439" w14:textId="77777777" w:rsidR="00884C08" w:rsidRDefault="00884C08" w:rsidP="00884C08">
      <w:pPr>
        <w:spacing w:line="240" w:lineRule="auto"/>
        <w:rPr>
          <w:rFonts w:eastAsia="Calibri"/>
          <w:sz w:val="24"/>
          <w:szCs w:val="24"/>
        </w:rPr>
      </w:pPr>
      <w:r>
        <w:rPr>
          <w:rFonts w:eastAsia="Calibri"/>
          <w:sz w:val="24"/>
          <w:szCs w:val="24"/>
        </w:rPr>
        <w:t> </w:t>
      </w:r>
    </w:p>
    <w:p w14:paraId="2847DEB0" w14:textId="77777777" w:rsidR="00884C08" w:rsidRDefault="00884C08" w:rsidP="00884C08">
      <w:pPr>
        <w:spacing w:line="240" w:lineRule="auto"/>
        <w:rPr>
          <w:rFonts w:eastAsia="Calibri"/>
          <w:sz w:val="24"/>
          <w:szCs w:val="24"/>
        </w:rPr>
      </w:pPr>
      <w:r>
        <w:rPr>
          <w:rFonts w:eastAsia="Calibri"/>
          <w:sz w:val="24"/>
          <w:szCs w:val="24"/>
        </w:rPr>
        <w:t>For Kothari et al. (2012</w:t>
      </w:r>
      <w:r>
        <w:rPr>
          <w:rFonts w:eastAsia="Calibri"/>
          <w:sz w:val="24"/>
          <w:szCs w:val="24"/>
          <w:u w:val="single"/>
        </w:rPr>
        <w:t xml:space="preserve">), these </w:t>
      </w:r>
      <w:r>
        <w:rPr>
          <w:rFonts w:eastAsia="Calibri"/>
          <w:sz w:val="24"/>
          <w:szCs w:val="24"/>
          <w:highlight w:val="yellow"/>
          <w:u w:val="single"/>
        </w:rPr>
        <w:t>threats stem from</w:t>
      </w:r>
      <w:r>
        <w:rPr>
          <w:rFonts w:eastAsia="Calibri"/>
          <w:sz w:val="24"/>
          <w:szCs w:val="24"/>
          <w:u w:val="single"/>
        </w:rPr>
        <w:t xml:space="preserve"> either </w:t>
      </w:r>
      <w:r>
        <w:rPr>
          <w:rFonts w:eastAsia="Calibri"/>
          <w:sz w:val="24"/>
          <w:szCs w:val="24"/>
          <w:highlight w:val="yellow"/>
          <w:u w:val="single"/>
        </w:rPr>
        <w:t>the lack of or inappropriate recognition</w:t>
      </w:r>
      <w:r>
        <w:rPr>
          <w:rFonts w:eastAsia="Calibri"/>
          <w:sz w:val="24"/>
          <w:szCs w:val="24"/>
          <w:u w:val="single"/>
        </w:rPr>
        <w:t xml:space="preserve"> which “imposes top-down institutional arrangements and thereby devalues and de-motivates traditional governance institutions”</w:t>
      </w:r>
      <w:r>
        <w:rPr>
          <w:rFonts w:eastAsia="Calibri"/>
          <w:sz w:val="24"/>
          <w:szCs w:val="24"/>
        </w:rPr>
        <w:t xml:space="preserve"> (Kothari et al., 2012, p. 31).33 The motivations to establish an ICCA correlate with the threats they face and, at best, with the custodian communities’ vision for their territory (see Table 4.4).</w:t>
      </w:r>
    </w:p>
    <w:p w14:paraId="6836C2B4" w14:textId="77777777" w:rsidR="00884C08" w:rsidRDefault="00884C08" w:rsidP="00884C08">
      <w:pPr>
        <w:spacing w:line="240" w:lineRule="auto"/>
        <w:rPr>
          <w:rFonts w:eastAsia="Calibri"/>
          <w:sz w:val="24"/>
          <w:szCs w:val="24"/>
        </w:rPr>
      </w:pPr>
      <w:r>
        <w:rPr>
          <w:rFonts w:eastAsia="Calibri"/>
          <w:sz w:val="24"/>
          <w:szCs w:val="24"/>
        </w:rPr>
        <w:t> </w:t>
      </w:r>
    </w:p>
    <w:p w14:paraId="17D85925" w14:textId="77777777" w:rsidR="00884C08" w:rsidRDefault="00884C08" w:rsidP="00884C08">
      <w:pPr>
        <w:spacing w:line="240" w:lineRule="auto"/>
        <w:rPr>
          <w:rFonts w:eastAsia="Calibri"/>
          <w:sz w:val="24"/>
          <w:szCs w:val="24"/>
        </w:rPr>
      </w:pPr>
      <w:r>
        <w:rPr>
          <w:rFonts w:eastAsia="Calibri"/>
          <w:sz w:val="24"/>
          <w:szCs w:val="24"/>
        </w:rPr>
        <w:t>Throughout the ICCAs literature and case studies, motivations to declare an ICCA are</w:t>
      </w:r>
    </w:p>
    <w:p w14:paraId="61E0AD8A" w14:textId="77777777" w:rsidR="00884C08" w:rsidRDefault="00884C08" w:rsidP="00884C08">
      <w:pPr>
        <w:spacing w:line="240" w:lineRule="auto"/>
        <w:rPr>
          <w:rFonts w:eastAsia="Calibri"/>
          <w:sz w:val="24"/>
          <w:szCs w:val="24"/>
        </w:rPr>
      </w:pPr>
      <w:r>
        <w:rPr>
          <w:rFonts w:eastAsia="Calibri"/>
          <w:sz w:val="24"/>
          <w:szCs w:val="24"/>
        </w:rPr>
        <w:t xml:space="preserve">diverse, but </w:t>
      </w:r>
      <w:r>
        <w:rPr>
          <w:rFonts w:eastAsia="Calibri"/>
          <w:sz w:val="24"/>
          <w:szCs w:val="24"/>
          <w:u w:val="single"/>
        </w:rPr>
        <w:t>Tran et al. (2020)’s analysis of 86 ICCA initiatives highlights prominent themes like the desire for Indigenous and local peoples to gain political authority in order to control the use and management of their territories, limit natural resource use and extraction, and protect their lands, waters, resources, people, and cultures.</w:t>
      </w:r>
      <w:r>
        <w:rPr>
          <w:rFonts w:eastAsia="Calibri"/>
          <w:sz w:val="24"/>
          <w:szCs w:val="24"/>
        </w:rPr>
        <w:t xml:space="preserve"> Recalling actions of everyday resistance to conservation, </w:t>
      </w:r>
      <w:r>
        <w:rPr>
          <w:rFonts w:eastAsia="Calibri"/>
          <w:sz w:val="24"/>
          <w:szCs w:val="24"/>
          <w:u w:val="single"/>
        </w:rPr>
        <w:t xml:space="preserve">Indigenous peoples and local communities continued livelihood practices make symbolic claims about proper land and resource access and use </w:t>
      </w:r>
      <w:r>
        <w:rPr>
          <w:rFonts w:eastAsia="Calibri"/>
          <w:sz w:val="24"/>
          <w:szCs w:val="24"/>
        </w:rPr>
        <w:t xml:space="preserve">(Holmes, 2007). The declaration of an ICCA similarly asserts that, </w:t>
      </w:r>
      <w:r>
        <w:rPr>
          <w:rFonts w:eastAsia="Calibri"/>
          <w:sz w:val="24"/>
          <w:szCs w:val="24"/>
          <w:u w:val="single"/>
        </w:rPr>
        <w:t>as rightsholders, it is the Indigenous people or local community who should determine how their ancestral territories should be used,</w:t>
      </w:r>
      <w:r>
        <w:rPr>
          <w:rFonts w:eastAsia="Calibri"/>
          <w:sz w:val="24"/>
          <w:szCs w:val="24"/>
        </w:rPr>
        <w:t xml:space="preserve"> refuting infringements upon their self-determination by State, non-governmental, or private entities. For example, </w:t>
      </w:r>
      <w:r>
        <w:rPr>
          <w:rFonts w:eastAsia="Calibri"/>
          <w:sz w:val="24"/>
          <w:szCs w:val="24"/>
          <w:u w:val="single"/>
        </w:rPr>
        <w:t>the Tla-o-qui-aht people of Vancouver Island in Canada, were able to successfully defend their sovereignty and resist the logging industry against their consent by creating the Tla-o-qui-aht Tribal Parks</w:t>
      </w:r>
      <w:r>
        <w:rPr>
          <w:rFonts w:eastAsia="Calibri"/>
          <w:sz w:val="24"/>
          <w:szCs w:val="24"/>
        </w:rPr>
        <w:t>, then defining the terms on which extractive activities were permitted (Murray &amp; Burrows, 2018). </w:t>
      </w:r>
    </w:p>
    <w:p w14:paraId="036E83D1" w14:textId="77777777" w:rsidR="00884C08" w:rsidRDefault="00884C08" w:rsidP="00884C08">
      <w:pPr>
        <w:spacing w:line="240" w:lineRule="auto"/>
        <w:rPr>
          <w:rFonts w:eastAsia="Calibri"/>
          <w:sz w:val="24"/>
          <w:szCs w:val="24"/>
        </w:rPr>
      </w:pPr>
      <w:r>
        <w:rPr>
          <w:rFonts w:eastAsia="Calibri"/>
          <w:sz w:val="24"/>
          <w:szCs w:val="24"/>
        </w:rPr>
        <w:lastRenderedPageBreak/>
        <w:t> </w:t>
      </w:r>
    </w:p>
    <w:p w14:paraId="41C3A5FE" w14:textId="77777777" w:rsidR="00884C08" w:rsidRDefault="00884C08" w:rsidP="00884C08">
      <w:pPr>
        <w:spacing w:line="240" w:lineRule="auto"/>
        <w:rPr>
          <w:rFonts w:eastAsia="Calibri"/>
          <w:sz w:val="24"/>
          <w:szCs w:val="24"/>
          <w:highlight w:val="yellow"/>
        </w:rPr>
      </w:pPr>
      <w:r>
        <w:rPr>
          <w:rFonts w:eastAsia="Calibri"/>
          <w:sz w:val="24"/>
          <w:szCs w:val="24"/>
          <w:highlight w:val="yellow"/>
          <w:u w:val="single"/>
        </w:rPr>
        <w:t xml:space="preserve">Declaring an ICCA can also support </w:t>
      </w:r>
      <w:r>
        <w:rPr>
          <w:rFonts w:eastAsia="Calibri"/>
          <w:sz w:val="24"/>
          <w:szCs w:val="24"/>
          <w:u w:val="single"/>
        </w:rPr>
        <w:t xml:space="preserve">building </w:t>
      </w:r>
      <w:r>
        <w:rPr>
          <w:rFonts w:eastAsia="Calibri"/>
          <w:sz w:val="24"/>
          <w:szCs w:val="24"/>
          <w:highlight w:val="yellow"/>
          <w:u w:val="single"/>
        </w:rPr>
        <w:t>“relations of solidarity” and “networks of</w:t>
      </w:r>
    </w:p>
    <w:p w14:paraId="09C3DC8A" w14:textId="77777777" w:rsidR="00884C08" w:rsidRDefault="00884C08" w:rsidP="00884C08">
      <w:pPr>
        <w:spacing w:line="240" w:lineRule="auto"/>
        <w:rPr>
          <w:rFonts w:eastAsia="Calibri"/>
          <w:sz w:val="24"/>
          <w:szCs w:val="24"/>
          <w:u w:val="single"/>
        </w:rPr>
      </w:pPr>
      <w:r>
        <w:rPr>
          <w:rFonts w:eastAsia="Calibri"/>
          <w:sz w:val="24"/>
          <w:szCs w:val="24"/>
          <w:highlight w:val="yellow"/>
          <w:u w:val="single"/>
        </w:rPr>
        <w:t>mutual aid”</w:t>
      </w:r>
      <w:r>
        <w:rPr>
          <w:rFonts w:eastAsia="Calibri"/>
          <w:sz w:val="24"/>
          <w:szCs w:val="24"/>
          <w:highlight w:val="yellow"/>
        </w:rPr>
        <w:t xml:space="preserve"> </w:t>
      </w:r>
      <w:r>
        <w:rPr>
          <w:rFonts w:eastAsia="Calibri"/>
          <w:sz w:val="24"/>
          <w:szCs w:val="24"/>
        </w:rPr>
        <w:t xml:space="preserve">(Coulthard, 2014, p. 173). </w:t>
      </w:r>
      <w:r>
        <w:rPr>
          <w:rFonts w:eastAsia="Calibri"/>
          <w:sz w:val="24"/>
          <w:szCs w:val="24"/>
          <w:u w:val="single"/>
        </w:rPr>
        <w:t xml:space="preserve">These </w:t>
      </w:r>
      <w:r>
        <w:rPr>
          <w:rFonts w:eastAsia="Calibri"/>
          <w:sz w:val="24"/>
          <w:szCs w:val="24"/>
          <w:highlight w:val="yellow"/>
          <w:u w:val="single"/>
        </w:rPr>
        <w:t>networks</w:t>
      </w:r>
      <w:r>
        <w:rPr>
          <w:rFonts w:eastAsia="Calibri"/>
          <w:sz w:val="24"/>
          <w:szCs w:val="24"/>
          <w:u w:val="single"/>
        </w:rPr>
        <w:t xml:space="preserve"> can </w:t>
      </w:r>
      <w:r>
        <w:rPr>
          <w:rFonts w:eastAsia="Calibri"/>
          <w:sz w:val="24"/>
          <w:szCs w:val="24"/>
          <w:highlight w:val="yellow"/>
          <w:u w:val="single"/>
        </w:rPr>
        <w:t>support</w:t>
      </w:r>
      <w:r>
        <w:rPr>
          <w:rFonts w:eastAsia="Calibri"/>
          <w:sz w:val="24"/>
          <w:szCs w:val="24"/>
          <w:u w:val="single"/>
        </w:rPr>
        <w:t xml:space="preserve"> </w:t>
      </w:r>
      <w:r>
        <w:rPr>
          <w:rFonts w:eastAsia="Calibri"/>
          <w:sz w:val="24"/>
          <w:szCs w:val="24"/>
          <w:highlight w:val="yellow"/>
          <w:u w:val="single"/>
        </w:rPr>
        <w:t xml:space="preserve">“mutually beneficial learning and empowerment” </w:t>
      </w:r>
      <w:r>
        <w:rPr>
          <w:rFonts w:eastAsia="Calibri"/>
          <w:sz w:val="24"/>
          <w:szCs w:val="24"/>
          <w:u w:val="single"/>
        </w:rPr>
        <w:t>(Farvar et al., 2018, p. 14), generating and sharing strategies for ICCAs to strengthen their institutions, governance, or advocacy on their terms.</w:t>
      </w:r>
      <w:r>
        <w:rPr>
          <w:rFonts w:eastAsia="Calibri"/>
          <w:sz w:val="24"/>
          <w:szCs w:val="24"/>
        </w:rPr>
        <w:t xml:space="preserve"> For Coulthard (2014),</w:t>
      </w:r>
      <w:r>
        <w:rPr>
          <w:rFonts w:eastAsia="Calibri"/>
          <w:sz w:val="24"/>
          <w:szCs w:val="24"/>
          <w:highlight w:val="yellow"/>
        </w:rPr>
        <w:t xml:space="preserve"> </w:t>
      </w:r>
      <w:r>
        <w:rPr>
          <w:rFonts w:eastAsia="Calibri"/>
          <w:sz w:val="24"/>
          <w:szCs w:val="24"/>
          <w:u w:val="single"/>
        </w:rPr>
        <w:t>forging such networks i</w:t>
      </w:r>
      <w:r>
        <w:rPr>
          <w:rFonts w:eastAsia="Calibri"/>
          <w:sz w:val="24"/>
          <w:szCs w:val="24"/>
        </w:rPr>
        <w:t xml:space="preserve">s not only beneficial for broader-scale change, but it </w:t>
      </w:r>
      <w:r>
        <w:rPr>
          <w:rFonts w:eastAsia="Calibri"/>
          <w:sz w:val="24"/>
          <w:szCs w:val="24"/>
          <w:u w:val="single"/>
        </w:rPr>
        <w:t>is also necessary for minority and marginalized communities,</w:t>
      </w:r>
      <w:r>
        <w:rPr>
          <w:rFonts w:eastAsia="Calibri"/>
          <w:sz w:val="24"/>
          <w:szCs w:val="24"/>
        </w:rPr>
        <w:t xml:space="preserve"> especially those who have experienced genocide. </w:t>
      </w:r>
      <w:r>
        <w:rPr>
          <w:rFonts w:eastAsia="Calibri"/>
          <w:sz w:val="24"/>
          <w:szCs w:val="24"/>
          <w:u w:val="single"/>
        </w:rPr>
        <w:t>Avenues of resistance and resurgence can become available or be strengthened for ICCAs</w:t>
      </w:r>
      <w:r>
        <w:rPr>
          <w:rFonts w:eastAsia="Calibri"/>
          <w:sz w:val="24"/>
          <w:szCs w:val="24"/>
        </w:rPr>
        <w:t xml:space="preserve"> through this process. According to Scheidel et al. (2020)’s findings, </w:t>
      </w:r>
      <w:r>
        <w:rPr>
          <w:rFonts w:eastAsia="Calibri"/>
          <w:sz w:val="24"/>
          <w:szCs w:val="24"/>
          <w:u w:val="single"/>
        </w:rPr>
        <w:t>diversified mobilization strategies prove the most effective to halt unwanted projects, including those who took legal action, and the greatest ‘success rates’ of project cancellation occur when organizing and activism are initiated before the project begins.</w:t>
      </w:r>
      <w:r>
        <w:rPr>
          <w:rFonts w:eastAsia="Calibri"/>
          <w:sz w:val="24"/>
          <w:szCs w:val="24"/>
        </w:rPr>
        <w:t xml:space="preserve"> </w:t>
      </w:r>
      <w:r>
        <w:rPr>
          <w:rFonts w:eastAsia="Calibri"/>
          <w:sz w:val="24"/>
          <w:szCs w:val="24"/>
          <w:highlight w:val="yellow"/>
          <w:u w:val="single"/>
        </w:rPr>
        <w:t>Through collaboration and support, an ICCA may</w:t>
      </w:r>
      <w:r>
        <w:rPr>
          <w:rFonts w:eastAsia="Calibri"/>
          <w:sz w:val="24"/>
          <w:szCs w:val="24"/>
        </w:rPr>
        <w:t xml:space="preserve"> be able to </w:t>
      </w:r>
      <w:r>
        <w:rPr>
          <w:rFonts w:eastAsia="Calibri"/>
          <w:sz w:val="24"/>
          <w:szCs w:val="24"/>
          <w:highlight w:val="yellow"/>
          <w:u w:val="single"/>
        </w:rPr>
        <w:t>garner desired media attention and fundraise for campaigns or gain access to legal support</w:t>
      </w:r>
      <w:r>
        <w:rPr>
          <w:rFonts w:eastAsia="Calibri"/>
          <w:sz w:val="24"/>
          <w:szCs w:val="24"/>
          <w:u w:val="single"/>
        </w:rPr>
        <w:t xml:space="preserve"> </w:t>
      </w:r>
      <w:r>
        <w:rPr>
          <w:rFonts w:eastAsia="Calibri"/>
          <w:sz w:val="24"/>
          <w:szCs w:val="24"/>
        </w:rPr>
        <w:t xml:space="preserve">to strengthen land tenure processes. </w:t>
      </w:r>
      <w:r>
        <w:rPr>
          <w:rFonts w:eastAsia="Calibri"/>
          <w:sz w:val="24"/>
          <w:szCs w:val="24"/>
          <w:u w:val="single"/>
        </w:rPr>
        <w:t xml:space="preserve">These </w:t>
      </w:r>
      <w:r>
        <w:rPr>
          <w:rFonts w:eastAsia="Calibri"/>
          <w:sz w:val="24"/>
          <w:szCs w:val="24"/>
          <w:highlight w:val="yellow"/>
          <w:u w:val="single"/>
        </w:rPr>
        <w:t xml:space="preserve">connections can bolster their ability to halt imposed conservation or development projects </w:t>
      </w:r>
      <w:r>
        <w:rPr>
          <w:rFonts w:eastAsia="Calibri"/>
          <w:sz w:val="24"/>
          <w:szCs w:val="24"/>
          <w:u w:val="single"/>
        </w:rPr>
        <w:t>and help share tools like community research guidelines to support self-determination – all of which are able to strengthen both resistance and resurgence.</w:t>
      </w:r>
    </w:p>
    <w:p w14:paraId="39F056C0" w14:textId="77777777" w:rsidR="00884C08" w:rsidRDefault="00884C08" w:rsidP="00884C08">
      <w:pPr>
        <w:spacing w:line="240" w:lineRule="auto"/>
        <w:rPr>
          <w:rFonts w:eastAsia="Calibri"/>
          <w:sz w:val="24"/>
          <w:szCs w:val="24"/>
        </w:rPr>
      </w:pPr>
      <w:r>
        <w:rPr>
          <w:rFonts w:eastAsia="Calibri"/>
          <w:sz w:val="24"/>
          <w:szCs w:val="24"/>
        </w:rPr>
        <w:t> </w:t>
      </w:r>
    </w:p>
    <w:p w14:paraId="543CDB91" w14:textId="77777777" w:rsidR="00884C08" w:rsidRDefault="00884C08" w:rsidP="00884C08">
      <w:pPr>
        <w:spacing w:line="240" w:lineRule="auto"/>
        <w:rPr>
          <w:rFonts w:eastAsia="Calibri"/>
          <w:sz w:val="24"/>
          <w:szCs w:val="24"/>
        </w:rPr>
      </w:pPr>
      <w:r>
        <w:rPr>
          <w:rFonts w:eastAsia="Calibri"/>
          <w:sz w:val="24"/>
          <w:szCs w:val="24"/>
          <w:highlight w:val="yellow"/>
          <w:u w:val="single"/>
        </w:rPr>
        <w:t>Indigenous peoples</w:t>
      </w:r>
      <w:r>
        <w:rPr>
          <w:rFonts w:eastAsia="Calibri"/>
          <w:sz w:val="24"/>
          <w:szCs w:val="24"/>
          <w:u w:val="single"/>
        </w:rPr>
        <w:t xml:space="preserve"> and local communities </w:t>
      </w:r>
      <w:r>
        <w:rPr>
          <w:rFonts w:eastAsia="Calibri"/>
          <w:sz w:val="24"/>
          <w:szCs w:val="24"/>
          <w:highlight w:val="yellow"/>
          <w:u w:val="single"/>
        </w:rPr>
        <w:t>have conserved</w:t>
      </w:r>
      <w:r>
        <w:rPr>
          <w:rFonts w:eastAsia="Calibri"/>
          <w:sz w:val="24"/>
          <w:szCs w:val="24"/>
          <w:u w:val="single"/>
        </w:rPr>
        <w:t xml:space="preserve"> and protected </w:t>
      </w:r>
      <w:r>
        <w:rPr>
          <w:rFonts w:eastAsia="Calibri"/>
          <w:sz w:val="24"/>
          <w:szCs w:val="24"/>
          <w:highlight w:val="yellow"/>
          <w:u w:val="single"/>
        </w:rPr>
        <w:t>their territories</w:t>
      </w:r>
    </w:p>
    <w:p w14:paraId="3DC01F05" w14:textId="77777777" w:rsidR="00884C08" w:rsidRDefault="00884C08" w:rsidP="00884C08">
      <w:pPr>
        <w:spacing w:line="240" w:lineRule="auto"/>
        <w:rPr>
          <w:rFonts w:eastAsia="Calibri"/>
          <w:sz w:val="24"/>
          <w:szCs w:val="24"/>
        </w:rPr>
      </w:pPr>
      <w:r>
        <w:rPr>
          <w:rFonts w:eastAsia="Calibri"/>
          <w:sz w:val="24"/>
          <w:szCs w:val="24"/>
          <w:highlight w:val="yellow"/>
          <w:u w:val="single"/>
        </w:rPr>
        <w:t>for millennia</w:t>
      </w:r>
      <w:r>
        <w:rPr>
          <w:rFonts w:eastAsia="Calibri"/>
          <w:sz w:val="24"/>
          <w:szCs w:val="24"/>
          <w:u w:val="single"/>
        </w:rPr>
        <w:t xml:space="preserve"> – utilizing their own resources and often without external support</w:t>
      </w:r>
      <w:r>
        <w:rPr>
          <w:rFonts w:eastAsia="Calibri"/>
          <w:sz w:val="24"/>
          <w:szCs w:val="24"/>
        </w:rPr>
        <w:t xml:space="preserve"> (Tauli-Corpuz et al., 2020). Nonetheless, Indigenous and locally managed territories </w:t>
      </w:r>
      <w:r>
        <w:rPr>
          <w:rFonts w:eastAsia="Calibri"/>
          <w:sz w:val="24"/>
          <w:szCs w:val="24"/>
          <w:u w:val="single"/>
        </w:rPr>
        <w:t>face the multifaceted</w:t>
      </w:r>
    </w:p>
    <w:p w14:paraId="0E72D863" w14:textId="77777777" w:rsidR="00884C08" w:rsidRDefault="00884C08" w:rsidP="00884C08">
      <w:pPr>
        <w:spacing w:line="240" w:lineRule="auto"/>
        <w:rPr>
          <w:rFonts w:eastAsia="Calibri"/>
          <w:sz w:val="24"/>
          <w:szCs w:val="24"/>
          <w:u w:val="single"/>
        </w:rPr>
      </w:pPr>
      <w:r>
        <w:rPr>
          <w:rFonts w:eastAsia="Calibri"/>
          <w:sz w:val="24"/>
          <w:szCs w:val="24"/>
          <w:u w:val="single"/>
        </w:rPr>
        <w:t>impacts of climate change</w:t>
      </w:r>
      <w:r>
        <w:rPr>
          <w:rFonts w:eastAsia="Calibri"/>
          <w:sz w:val="24"/>
          <w:szCs w:val="24"/>
        </w:rPr>
        <w:t xml:space="preserve"> (Ross et al., 2009), ecological concerns like invasive species (Moritz et al., 2013), and increased pressure on local resources from tourism and development (Tran et al., 2020). As Tran et al. (2020) describe, </w:t>
      </w:r>
      <w:r>
        <w:rPr>
          <w:rFonts w:eastAsia="Calibri"/>
          <w:sz w:val="24"/>
          <w:szCs w:val="24"/>
          <w:u w:val="single"/>
        </w:rPr>
        <w:t>establishing and maintaining</w:t>
      </w:r>
      <w:r>
        <w:rPr>
          <w:rFonts w:eastAsia="Calibri"/>
          <w:sz w:val="24"/>
          <w:szCs w:val="24"/>
          <w:highlight w:val="yellow"/>
          <w:u w:val="single"/>
        </w:rPr>
        <w:t xml:space="preserve"> an ICCA can support a community's conservation</w:t>
      </w:r>
      <w:r>
        <w:rPr>
          <w:rFonts w:eastAsia="Calibri"/>
          <w:sz w:val="24"/>
          <w:szCs w:val="24"/>
          <w:u w:val="single"/>
        </w:rPr>
        <w:t xml:space="preserve"> goals </w:t>
      </w:r>
      <w:r>
        <w:rPr>
          <w:rFonts w:eastAsia="Calibri"/>
          <w:sz w:val="24"/>
          <w:szCs w:val="24"/>
          <w:highlight w:val="yellow"/>
          <w:u w:val="single"/>
        </w:rPr>
        <w:t xml:space="preserve">such as protecting sacred sites </w:t>
      </w:r>
      <w:r>
        <w:rPr>
          <w:rFonts w:eastAsia="Calibri"/>
          <w:sz w:val="24"/>
          <w:szCs w:val="24"/>
          <w:u w:val="single"/>
        </w:rPr>
        <w:t xml:space="preserve">(Wallis, 2010), </w:t>
      </w:r>
      <w:r>
        <w:rPr>
          <w:rFonts w:eastAsia="Calibri"/>
          <w:sz w:val="24"/>
          <w:szCs w:val="24"/>
          <w:highlight w:val="yellow"/>
          <w:u w:val="single"/>
        </w:rPr>
        <w:t xml:space="preserve">restoring </w:t>
      </w:r>
      <w:r>
        <w:rPr>
          <w:rFonts w:eastAsia="Calibri"/>
          <w:sz w:val="24"/>
          <w:szCs w:val="24"/>
          <w:u w:val="single"/>
        </w:rPr>
        <w:t xml:space="preserve">native plant species (Muller, 2003), protecting </w:t>
      </w:r>
      <w:r>
        <w:rPr>
          <w:rFonts w:eastAsia="Calibri"/>
          <w:sz w:val="24"/>
          <w:szCs w:val="24"/>
          <w:highlight w:val="yellow"/>
          <w:u w:val="single"/>
        </w:rPr>
        <w:t>culturally important species</w:t>
      </w:r>
      <w:r>
        <w:rPr>
          <w:rFonts w:eastAsia="Calibri"/>
          <w:sz w:val="24"/>
          <w:szCs w:val="24"/>
          <w:u w:val="single"/>
        </w:rPr>
        <w:t xml:space="preserve"> (Cormier-Salem, 2014), improving corridors and connectivity across land and seascapes (Vaz &amp; Agama, 2013), as well as end the exploitation of resources without free, prior, and informed consent.</w:t>
      </w:r>
    </w:p>
    <w:p w14:paraId="66E41213" w14:textId="77777777" w:rsidR="00884C08" w:rsidRDefault="00884C08" w:rsidP="00884C08">
      <w:pPr>
        <w:spacing w:line="240" w:lineRule="auto"/>
        <w:rPr>
          <w:rFonts w:eastAsia="Calibri"/>
          <w:sz w:val="24"/>
          <w:szCs w:val="24"/>
        </w:rPr>
      </w:pPr>
      <w:r>
        <w:rPr>
          <w:rFonts w:eastAsia="Calibri"/>
          <w:sz w:val="24"/>
          <w:szCs w:val="24"/>
        </w:rPr>
        <w:t xml:space="preserve">.2.2 Grounded normativity </w:t>
      </w:r>
      <w:r>
        <w:rPr>
          <w:rFonts w:eastAsia="Calibri"/>
          <w:sz w:val="24"/>
          <w:szCs w:val="24"/>
          <w:u w:val="single"/>
        </w:rPr>
        <w:t>I</w:t>
      </w:r>
      <w:r>
        <w:rPr>
          <w:rFonts w:eastAsia="Calibri"/>
          <w:sz w:val="24"/>
          <w:szCs w:val="24"/>
          <w:highlight w:val="yellow"/>
          <w:u w:val="single"/>
        </w:rPr>
        <w:t>CCAs can be a revitalization of traditional</w:t>
      </w:r>
      <w:r>
        <w:rPr>
          <w:rFonts w:eastAsia="Calibri"/>
          <w:sz w:val="24"/>
          <w:szCs w:val="24"/>
          <w:u w:val="single"/>
        </w:rPr>
        <w:t xml:space="preserve"> and customary </w:t>
      </w:r>
      <w:r>
        <w:rPr>
          <w:rFonts w:eastAsia="Calibri"/>
          <w:sz w:val="24"/>
          <w:szCs w:val="24"/>
          <w:highlight w:val="yellow"/>
          <w:u w:val="single"/>
        </w:rPr>
        <w:t>institutions, economies, and knowledges</w:t>
      </w:r>
      <w:r>
        <w:rPr>
          <w:rFonts w:eastAsia="Calibri"/>
          <w:sz w:val="24"/>
          <w:szCs w:val="24"/>
          <w:u w:val="single"/>
        </w:rPr>
        <w:t xml:space="preserve"> in practices of grounded normativity (Coulthard, 2014). </w:t>
      </w:r>
      <w:r>
        <w:rPr>
          <w:rFonts w:eastAsia="Calibri"/>
          <w:sz w:val="24"/>
          <w:szCs w:val="24"/>
          <w:highlight w:val="yellow"/>
          <w:u w:val="single"/>
        </w:rPr>
        <w:t>With secure land tenure and resource access,</w:t>
      </w:r>
      <w:r>
        <w:rPr>
          <w:rFonts w:eastAsia="Calibri"/>
          <w:sz w:val="24"/>
          <w:szCs w:val="24"/>
          <w:u w:val="single"/>
        </w:rPr>
        <w:t xml:space="preserve"> Indigenous peoples and </w:t>
      </w:r>
      <w:r>
        <w:rPr>
          <w:rFonts w:eastAsia="Calibri"/>
          <w:sz w:val="24"/>
          <w:szCs w:val="24"/>
          <w:highlight w:val="yellow"/>
          <w:u w:val="single"/>
        </w:rPr>
        <w:t xml:space="preserve">local communities </w:t>
      </w:r>
      <w:r>
        <w:rPr>
          <w:rFonts w:eastAsia="Calibri"/>
          <w:sz w:val="24"/>
          <w:szCs w:val="24"/>
          <w:u w:val="single"/>
        </w:rPr>
        <w:t>are able to</w:t>
      </w:r>
      <w:r>
        <w:rPr>
          <w:rFonts w:eastAsia="Calibri"/>
          <w:sz w:val="24"/>
          <w:szCs w:val="24"/>
          <w:highlight w:val="yellow"/>
          <w:u w:val="single"/>
        </w:rPr>
        <w:t xml:space="preserve"> carry out land-based practices like hunting, fishing, and cultivating</w:t>
      </w:r>
      <w:r>
        <w:rPr>
          <w:rFonts w:eastAsia="Calibri"/>
          <w:sz w:val="24"/>
          <w:szCs w:val="24"/>
          <w:u w:val="single"/>
        </w:rPr>
        <w:t xml:space="preserve"> according to their collective visions (Muller, 2003). In doing so, traditional and customary institutions can be strengthened and renewed through increased presence on ancestral lands, creating the conditions where traditional and customary knowledge, languages, and ontologies can be safeguarded and shared </w:t>
      </w:r>
      <w:r>
        <w:rPr>
          <w:rFonts w:eastAsia="Calibri"/>
          <w:sz w:val="24"/>
          <w:szCs w:val="24"/>
        </w:rPr>
        <w:t xml:space="preserve">35However, this does not always mean that ecosystems were ‘preserved’ (Chapter 1 of Stevens, 1997 and Subsection 3.3.3 of this thesis; See also Cronon, 2011; Denevan, 2012; Ford &amp; Nigh, 2016). 84 intergenerationally. This can occur in everyday livelihood practices or through specific initiatives. For example, in Tombstone Territorial Park in Canada, cultural revitalization took place through ‘culture camps’ to facilitate the passing down of traditional knowledge (Shultis &amp; Heffner, 2016). 4.2.3 Alternative political economies </w:t>
      </w:r>
      <w:r>
        <w:rPr>
          <w:rFonts w:eastAsia="Calibri"/>
          <w:sz w:val="24"/>
          <w:szCs w:val="24"/>
          <w:highlight w:val="yellow"/>
          <w:u w:val="single"/>
        </w:rPr>
        <w:t>By reconnecting with or strengthening land-based practices</w:t>
      </w:r>
      <w:r>
        <w:rPr>
          <w:rFonts w:eastAsia="Calibri"/>
          <w:sz w:val="24"/>
          <w:szCs w:val="24"/>
          <w:u w:val="single"/>
        </w:rPr>
        <w:t xml:space="preserve"> intergenerationally, </w:t>
      </w:r>
      <w:r>
        <w:rPr>
          <w:rFonts w:eastAsia="Calibri"/>
          <w:sz w:val="24"/>
          <w:szCs w:val="24"/>
          <w:highlight w:val="yellow"/>
          <w:u w:val="single"/>
        </w:rPr>
        <w:t xml:space="preserve">communities may </w:t>
      </w:r>
      <w:r>
        <w:rPr>
          <w:rFonts w:eastAsia="Calibri"/>
          <w:sz w:val="24"/>
          <w:szCs w:val="24"/>
          <w:u w:val="single"/>
        </w:rPr>
        <w:t xml:space="preserve">increase their reliance on traditional foods, medicines, and life materials, and </w:t>
      </w:r>
      <w:r>
        <w:rPr>
          <w:rFonts w:eastAsia="Calibri"/>
          <w:sz w:val="24"/>
          <w:szCs w:val="24"/>
          <w:highlight w:val="yellow"/>
          <w:u w:val="single"/>
        </w:rPr>
        <w:t>decrease dependence on external support and capitalist markets.</w:t>
      </w:r>
      <w:r>
        <w:rPr>
          <w:rFonts w:eastAsia="Calibri"/>
          <w:sz w:val="24"/>
          <w:szCs w:val="24"/>
          <w:u w:val="single"/>
        </w:rPr>
        <w:t xml:space="preserve"> In this process, </w:t>
      </w:r>
      <w:r>
        <w:rPr>
          <w:rFonts w:eastAsia="Calibri"/>
          <w:sz w:val="24"/>
          <w:szCs w:val="24"/>
          <w:highlight w:val="yellow"/>
          <w:u w:val="single"/>
        </w:rPr>
        <w:t xml:space="preserve">Indigenous and local peoples can create “political-economic alternatives” which “pose a real threat to the accumulation of capital on Indigenous lands” </w:t>
      </w:r>
      <w:r>
        <w:rPr>
          <w:rFonts w:eastAsia="Calibri"/>
          <w:sz w:val="24"/>
          <w:szCs w:val="24"/>
          <w:u w:val="single"/>
        </w:rPr>
        <w:t xml:space="preserve">(Coulthard, 2014, p. 172). When Indigenous peoples and local communities gain political influence through an ICCA, they may increase their ability to end the commodification of lands and peoples, </w:t>
      </w:r>
      <w:r>
        <w:rPr>
          <w:rFonts w:eastAsia="Calibri"/>
          <w:sz w:val="24"/>
          <w:szCs w:val="24"/>
          <w:u w:val="single"/>
        </w:rPr>
        <w:lastRenderedPageBreak/>
        <w:t>resisting colonial-capitalist logic.</w:t>
      </w:r>
      <w:r>
        <w:rPr>
          <w:rFonts w:eastAsia="Calibri"/>
          <w:sz w:val="24"/>
          <w:szCs w:val="24"/>
        </w:rPr>
        <w:t xml:space="preserve"> In Bolivia, through the creation of the Pilón Lajas Biosphere Reserve and Indigenous Territory, the Tsimane, Mosetene, and Tacana peoples secured their collective land title, challenged the State’s top-down governance, and guaranteed that the State would no longer issue permits for extractive industries within the Reserve and Territory (Gambon &amp; Rist, 2017). For Coulthard, strengthening “the most egalitarian and participatory features of [Indigenous and] traditional governance practices” (2014, p. 172) creates even more opportunities for decolonization. </w:t>
      </w:r>
      <w:r>
        <w:rPr>
          <w:rFonts w:eastAsia="Calibri"/>
          <w:sz w:val="24"/>
          <w:szCs w:val="24"/>
          <w:highlight w:val="yellow"/>
          <w:u w:val="single"/>
        </w:rPr>
        <w:t>Resurgent</w:t>
      </w:r>
      <w:r>
        <w:rPr>
          <w:rFonts w:eastAsia="Calibri"/>
          <w:sz w:val="24"/>
          <w:szCs w:val="24"/>
          <w:u w:val="single"/>
        </w:rPr>
        <w:t xml:space="preserve"> or revitalized traditional and customary </w:t>
      </w:r>
      <w:r>
        <w:rPr>
          <w:rFonts w:eastAsia="Calibri"/>
          <w:sz w:val="24"/>
          <w:szCs w:val="24"/>
          <w:highlight w:val="yellow"/>
          <w:u w:val="single"/>
        </w:rPr>
        <w:t xml:space="preserve">practices can promote alternative economies by providing the lands and resources </w:t>
      </w:r>
      <w:r>
        <w:rPr>
          <w:rFonts w:eastAsia="Calibri"/>
          <w:sz w:val="24"/>
          <w:szCs w:val="24"/>
          <w:u w:val="single"/>
        </w:rPr>
        <w:t xml:space="preserve">whereby Indigeneity can be lived through while rejecting colonial forms of capitalism. 85 4.2.4 </w:t>
      </w:r>
      <w:r>
        <w:rPr>
          <w:rFonts w:eastAsia="Calibri"/>
          <w:sz w:val="24"/>
          <w:szCs w:val="24"/>
          <w:highlight w:val="yellow"/>
          <w:u w:val="single"/>
        </w:rPr>
        <w:t xml:space="preserve">Embodied ontological decolonization ICCAs can “provide the </w:t>
      </w:r>
      <w:r>
        <w:rPr>
          <w:rFonts w:eastAsia="Calibri"/>
          <w:sz w:val="24"/>
          <w:szCs w:val="24"/>
          <w:u w:val="single"/>
        </w:rPr>
        <w:t xml:space="preserve">context and </w:t>
      </w:r>
      <w:r>
        <w:rPr>
          <w:rFonts w:eastAsia="Calibri"/>
          <w:sz w:val="24"/>
          <w:szCs w:val="24"/>
          <w:highlight w:val="yellow"/>
          <w:u w:val="single"/>
        </w:rPr>
        <w:t>means for the socio-cultural, economic, political, spiritual, and physical well-being of thousands of peoples</w:t>
      </w:r>
      <w:r>
        <w:rPr>
          <w:rFonts w:eastAsia="Calibri"/>
          <w:sz w:val="24"/>
          <w:szCs w:val="24"/>
          <w:u w:val="single"/>
        </w:rPr>
        <w:t xml:space="preserve"> and local communities, involving hundreds of millions of people”</w:t>
      </w:r>
      <w:r>
        <w:rPr>
          <w:rFonts w:eastAsia="Calibri"/>
          <w:sz w:val="24"/>
          <w:szCs w:val="24"/>
        </w:rPr>
        <w:t xml:space="preserve"> (Kothari et al., 2012, p. 24). For example, within the Australian Indigenous Protected Area (IPA) program, many Indigenous and Aboriginal peoples have received “significant benefits” like the “preservation, renewal, and maintenance of the knowledge systems upon which Indigenous livelihood and environmental security depends”, when conservation initiatives are not merely community-oriented but are community-controlled (Langton et al., 2014, p. 85). The Miriuwung-Gajerrong people were able to gain secure land tenure (Hill, 2011), and the Warlpiri people received funding and support to carry out long-term conservation plans (Davies et al., 2018). In other cases, Aboriginal peoples reported increased access to traditional foods (Smyth &amp; Jaireth, 2012). While the benefits can be wide-reaching and enable everyday decolonization with both resurgence and resistance there remains considerable debate about the role of recognition for ICCAs, which is accompanied by additional threats and challenges for an ICCA. Many of the aforementioned benefits are realized through legal recognition. However, with external support and recognition, there are distinct concerns for Indigenous and local sovereignty. Some ICCAs may seek State recognition to gain access to the potential benefits, while others may desire to avoid the ‘colonial entanglements’ (Dennison, 2012) of increasing relationships with States, NGOs, or other private entities after histories of (or presently) violated rights (Tran et al., 2020). The way an ICCA is recognized or not recognized then influences its decolonizing potential. </w:t>
      </w:r>
    </w:p>
    <w:p w14:paraId="56964103" w14:textId="77777777" w:rsidR="00884C08" w:rsidRDefault="00884C08" w:rsidP="00884C08">
      <w:pPr>
        <w:pStyle w:val="Heading2"/>
        <w:keepNext w:val="0"/>
        <w:keepLines w:val="0"/>
        <w:spacing w:before="240" w:line="290" w:lineRule="auto"/>
        <w:rPr>
          <w:rFonts w:eastAsia="Calibri" w:cs="Calibri"/>
          <w:szCs w:val="44"/>
        </w:rPr>
      </w:pPr>
      <w:bookmarkStart w:id="12" w:name="_junn122mhcxz" w:colFirst="0" w:colLast="0"/>
      <w:bookmarkEnd w:id="12"/>
      <w:r>
        <w:rPr>
          <w:rFonts w:eastAsia="Calibri" w:cs="Calibri"/>
          <w:szCs w:val="44"/>
        </w:rPr>
        <w:lastRenderedPageBreak/>
        <w:t>Framing</w:t>
      </w:r>
    </w:p>
    <w:p w14:paraId="5D48EF52" w14:textId="77777777" w:rsidR="00884C08" w:rsidRDefault="00884C08" w:rsidP="00884C08">
      <w:pPr>
        <w:pStyle w:val="Heading4"/>
        <w:rPr>
          <w:rFonts w:eastAsia="Calibri" w:cs="Calibri"/>
          <w:b w:val="0"/>
          <w:bCs/>
          <w:color w:val="000000"/>
          <w:szCs w:val="26"/>
        </w:rPr>
      </w:pPr>
      <w:bookmarkStart w:id="13" w:name="_7kmdm7kosbnm" w:colFirst="0" w:colLast="0"/>
      <w:bookmarkEnd w:id="13"/>
      <w:r>
        <w:rPr>
          <w:rFonts w:eastAsia="Calibri" w:cs="Calibri"/>
          <w:bCs/>
          <w:color w:val="000000"/>
          <w:szCs w:val="26"/>
        </w:rPr>
        <w:t xml:space="preserve">The Arctic is a space of </w:t>
      </w:r>
      <w:r>
        <w:rPr>
          <w:rFonts w:eastAsia="Calibri" w:cs="Calibri"/>
          <w:bCs/>
          <w:color w:val="000000"/>
          <w:szCs w:val="26"/>
          <w:u w:val="single"/>
        </w:rPr>
        <w:t>legal possibilities</w:t>
      </w:r>
      <w:r>
        <w:rPr>
          <w:rFonts w:eastAsia="Calibri" w:cs="Calibri"/>
          <w:bCs/>
          <w:color w:val="000000"/>
          <w:szCs w:val="26"/>
        </w:rPr>
        <w:t xml:space="preserve">. Only through speculating possibilities of </w:t>
      </w:r>
      <w:r>
        <w:rPr>
          <w:rFonts w:eastAsia="Calibri" w:cs="Calibri"/>
          <w:bCs/>
          <w:color w:val="000000"/>
          <w:szCs w:val="26"/>
          <w:u w:val="single"/>
        </w:rPr>
        <w:t>governance</w:t>
      </w:r>
      <w:r>
        <w:rPr>
          <w:rFonts w:eastAsia="Calibri" w:cs="Calibri"/>
          <w:bCs/>
          <w:color w:val="000000"/>
          <w:szCs w:val="26"/>
        </w:rPr>
        <w:t xml:space="preserve"> and law are we able to </w:t>
      </w:r>
      <w:r>
        <w:rPr>
          <w:rFonts w:eastAsia="Calibri" w:cs="Calibri"/>
          <w:bCs/>
          <w:color w:val="000000"/>
          <w:szCs w:val="26"/>
          <w:u w:val="single"/>
        </w:rPr>
        <w:t>imagine futures</w:t>
      </w:r>
      <w:r>
        <w:rPr>
          <w:rFonts w:eastAsia="Calibri" w:cs="Calibri"/>
          <w:bCs/>
          <w:color w:val="000000"/>
          <w:szCs w:val="26"/>
        </w:rPr>
        <w:t xml:space="preserve"> we want and enact political change.</w:t>
      </w:r>
    </w:p>
    <w:p w14:paraId="521217D2" w14:textId="77777777" w:rsidR="00884C08" w:rsidRDefault="00884C08" w:rsidP="00884C08">
      <w:pPr>
        <w:spacing w:line="240" w:lineRule="auto"/>
        <w:rPr>
          <w:rFonts w:eastAsia="Calibri"/>
          <w:sz w:val="24"/>
          <w:szCs w:val="24"/>
        </w:rPr>
      </w:pPr>
      <w:r>
        <w:rPr>
          <w:rFonts w:eastAsia="Calibri"/>
          <w:b/>
          <w:bCs/>
          <w:sz w:val="30"/>
          <w:szCs w:val="30"/>
        </w:rPr>
        <w:t>Chuffart et al. 2025.</w:t>
      </w:r>
      <w:r>
        <w:rPr>
          <w:rFonts w:eastAsia="Calibri"/>
          <w:b/>
          <w:bCs/>
        </w:rPr>
        <w:t xml:space="preserve"> </w:t>
      </w:r>
      <w:r>
        <w:rPr>
          <w:rFonts w:eastAsia="Calibri"/>
          <w:sz w:val="24"/>
          <w:szCs w:val="24"/>
        </w:rPr>
        <w:t>Romain Chuffart, Mana Tugend, Apostolos Tsiouvalas 3-18-2025. Romain Chuffart is a Nansen Professor in Arctic Studies at the University of Akureyri. Mana is an LL.M. graduate in Polar Law from the University of Akureyri, Iceland, and is currently pursuing a PhD at the Norwegian Center for the Law of the Sea. Dr. Apostolos Tsiouvalas is a Senior Fellow at The Arctic Institute and serves as the editor-in-chief of the Institute’s weekly publication, The Arctic This Week. His research explores the intersection of polar law with philosophy, history, and geography. "To the Earth and Back: Expanding Polar Legal Imagination", Arctic Institute - Center for Circumpolar Security Studies, https://www.thearcticinstitute.org/earth-back-expanding-polar-legal-imagination/</w:t>
      </w:r>
    </w:p>
    <w:p w14:paraId="1B28B6DF" w14:textId="77777777" w:rsidR="00884C08" w:rsidRDefault="00884C08" w:rsidP="00884C08">
      <w:pPr>
        <w:spacing w:line="240" w:lineRule="auto"/>
        <w:rPr>
          <w:rFonts w:eastAsia="Calibri"/>
          <w:sz w:val="24"/>
          <w:szCs w:val="24"/>
        </w:rPr>
      </w:pPr>
      <w:r>
        <w:rPr>
          <w:rFonts w:eastAsia="Calibri"/>
        </w:rPr>
        <w:t xml:space="preserve">As outlined in the introduction, </w:t>
      </w:r>
      <w:r>
        <w:rPr>
          <w:rFonts w:eastAsia="Calibri"/>
          <w:highlight w:val="cyan"/>
          <w:u w:val="single"/>
        </w:rPr>
        <w:t>law is typically</w:t>
      </w:r>
      <w:r>
        <w:rPr>
          <w:rFonts w:eastAsia="Calibri"/>
          <w:u w:val="single"/>
        </w:rPr>
        <w:t xml:space="preserve"> a </w:t>
      </w:r>
      <w:r>
        <w:rPr>
          <w:rFonts w:eastAsia="Calibri"/>
          <w:highlight w:val="cyan"/>
          <w:u w:val="single"/>
        </w:rPr>
        <w:t>reactive</w:t>
      </w:r>
      <w:r>
        <w:rPr>
          <w:rFonts w:eastAsia="Calibri"/>
          <w:u w:val="single"/>
        </w:rPr>
        <w:t xml:space="preserve"> discipline; it responds to crises, disputes, or the needs of states. </w:t>
      </w:r>
      <w:r>
        <w:rPr>
          <w:rFonts w:eastAsia="Calibri"/>
          <w:highlight w:val="cyan"/>
          <w:u w:val="single"/>
        </w:rPr>
        <w:t>This is where speculation comes in</w:t>
      </w:r>
      <w:r>
        <w:rPr>
          <w:rFonts w:eastAsia="Calibri"/>
          <w:u w:val="single"/>
        </w:rPr>
        <w:t>to play, but how do we speculate (as a practice) with a focus on the polar regions</w:t>
      </w:r>
      <w:r>
        <w:rPr>
          <w:rFonts w:eastAsia="Calibri"/>
        </w:rPr>
        <w:t xml:space="preserve">? </w:t>
      </w:r>
      <w:r>
        <w:rPr>
          <w:rFonts w:eastAsia="Calibri"/>
          <w:highlight w:val="cyan"/>
          <w:u w:val="single"/>
        </w:rPr>
        <w:t>Speculative legal praxis invites us to p</w:t>
      </w:r>
      <w:r>
        <w:rPr>
          <w:rFonts w:eastAsia="Calibri"/>
          <w:u w:val="single"/>
        </w:rPr>
        <w:t xml:space="preserve">roactively </w:t>
      </w:r>
      <w:r>
        <w:rPr>
          <w:rFonts w:eastAsia="Calibri"/>
          <w:highlight w:val="cyan"/>
          <w:u w:val="single"/>
        </w:rPr>
        <w:t xml:space="preserve">imagine </w:t>
      </w:r>
      <w:r>
        <w:rPr>
          <w:rFonts w:eastAsia="Calibri"/>
          <w:u w:val="single"/>
        </w:rPr>
        <w:t>alternative</w:t>
      </w:r>
      <w:r>
        <w:rPr>
          <w:rFonts w:eastAsia="Calibri"/>
          <w:highlight w:val="cyan"/>
          <w:u w:val="single"/>
        </w:rPr>
        <w:t xml:space="preserve"> futures</w:t>
      </w:r>
      <w:r>
        <w:rPr>
          <w:rFonts w:eastAsia="Calibri"/>
          <w:u w:val="single"/>
        </w:rPr>
        <w:t>. This is not just about responding to immediate threats to the polar environments (environmental law has not managed to do that in a century of normative developments</w:t>
      </w:r>
      <w:r>
        <w:rPr>
          <w:rFonts w:eastAsia="Calibri"/>
          <w:highlight w:val="cyan"/>
          <w:u w:val="single"/>
        </w:rPr>
        <w:t>); it is about</w:t>
      </w:r>
      <w:r>
        <w:rPr>
          <w:rFonts w:eastAsia="Calibri"/>
          <w:u w:val="single"/>
        </w:rPr>
        <w:t xml:space="preserve"> rethinking the legal frameworks themselves, questioning their assumptions, and </w:t>
      </w:r>
      <w:r>
        <w:rPr>
          <w:rFonts w:eastAsia="Calibri"/>
          <w:highlight w:val="cyan"/>
          <w:u w:val="single"/>
        </w:rPr>
        <w:t xml:space="preserve">envisioning new possibilities </w:t>
      </w:r>
      <w:r>
        <w:rPr>
          <w:rFonts w:eastAsia="Calibri"/>
          <w:u w:val="single"/>
        </w:rPr>
        <w:t>for polar law</w:t>
      </w:r>
      <w:r>
        <w:rPr>
          <w:rFonts w:eastAsia="Calibri"/>
          <w:highlight w:val="cyan"/>
          <w:u w:val="single"/>
        </w:rPr>
        <w:t>.</w:t>
      </w:r>
      <w:r>
        <w:rPr>
          <w:rFonts w:eastAsia="Calibri"/>
          <w:highlight w:val="cyan"/>
        </w:rPr>
        <w:t xml:space="preserve"> </w:t>
      </w:r>
      <w:r>
        <w:rPr>
          <w:rFonts w:eastAsia="Calibri"/>
          <w:highlight w:val="cyan"/>
          <w:u w:val="single"/>
        </w:rPr>
        <w:t>One way of doing speculation is through</w:t>
      </w:r>
      <w:r>
        <w:rPr>
          <w:rFonts w:eastAsia="Calibri"/>
          <w:u w:val="single"/>
        </w:rPr>
        <w:t xml:space="preserve"> the concept of prefiguration, as a means of </w:t>
      </w:r>
      <w:r>
        <w:rPr>
          <w:rFonts w:eastAsia="Calibri"/>
          <w:highlight w:val="cyan"/>
          <w:u w:val="single"/>
        </w:rPr>
        <w:t>imagining the future we want</w:t>
      </w:r>
      <w:r>
        <w:rPr>
          <w:rFonts w:eastAsia="Calibri"/>
          <w:u w:val="single"/>
        </w:rPr>
        <w:t>.</w:t>
      </w:r>
      <w:r>
        <w:rPr>
          <w:rFonts w:eastAsia="Calibri"/>
        </w:rPr>
        <w:t xml:space="preserve"> In that sense, prefiguration allows us to move beyond the confines of existing legal systems and ask fundamental questions: what is the future of the polar regions we want? And how do we transpose this vision of the future into a normative endeavour? Just as the poles are transforming as a result of the climate and environmental crises, so too must our legal concepts become more fluid, adaptive, and interconnected. </w:t>
      </w:r>
      <w:r>
        <w:rPr>
          <w:rFonts w:eastAsia="Calibri"/>
          <w:u w:val="single"/>
        </w:rPr>
        <w:t>Traditional categories like sovereignty, legality, and normativity, which have historically been fixed and stable, are now being challenged by ecological instability. This demands that we move away from static legal systems towards more adaptive legal orders, ones that can respond to molecular-planetary concerns and ecological limits</w:t>
      </w:r>
      <w:r>
        <w:rPr>
          <w:rFonts w:eastAsia="Calibri"/>
        </w:rPr>
        <w:t>.</w:t>
      </w:r>
    </w:p>
    <w:p w14:paraId="03FC4BDA" w14:textId="77777777" w:rsidR="00884C08" w:rsidRDefault="00884C08" w:rsidP="00884C08">
      <w:pPr>
        <w:spacing w:line="240" w:lineRule="auto"/>
        <w:rPr>
          <w:rFonts w:eastAsia="Calibri"/>
          <w:sz w:val="24"/>
          <w:szCs w:val="24"/>
        </w:rPr>
      </w:pPr>
      <w:r>
        <w:rPr>
          <w:rFonts w:eastAsia="Calibri"/>
          <w:highlight w:val="cyan"/>
          <w:u w:val="single"/>
        </w:rPr>
        <w:t>Speculative thinking</w:t>
      </w:r>
      <w:r>
        <w:rPr>
          <w:rFonts w:eastAsia="Calibri"/>
          <w:u w:val="single"/>
        </w:rPr>
        <w:t xml:space="preserve"> is not simply a means to escape from the present. It </w:t>
      </w:r>
      <w:r>
        <w:rPr>
          <w:rFonts w:eastAsia="Calibri"/>
          <w:highlight w:val="cyan"/>
          <w:u w:val="single"/>
        </w:rPr>
        <w:t>is a political praxis to reimagine and reconstruct legal knowledge that can respond to the complex</w:t>
      </w:r>
      <w:r>
        <w:rPr>
          <w:rFonts w:eastAsia="Calibri"/>
          <w:u w:val="single"/>
        </w:rPr>
        <w:t xml:space="preserve">, entangled </w:t>
      </w:r>
      <w:r>
        <w:rPr>
          <w:rFonts w:eastAsia="Calibri"/>
          <w:highlight w:val="cyan"/>
          <w:u w:val="single"/>
        </w:rPr>
        <w:t>realities of the polar regions</w:t>
      </w:r>
      <w:r>
        <w:rPr>
          <w:rFonts w:eastAsia="Calibri"/>
          <w:u w:val="single"/>
        </w:rPr>
        <w:t>.</w:t>
      </w:r>
      <w:r>
        <w:rPr>
          <w:rFonts w:eastAsia="Calibri"/>
        </w:rPr>
        <w:t xml:space="preserve"> </w:t>
      </w:r>
      <w:r>
        <w:rPr>
          <w:rFonts w:eastAsia="Calibri"/>
          <w:u w:val="single"/>
        </w:rPr>
        <w:t>It allows us to think beyond the binaries of state vs. non-state actors, human vs. non-human interests, and utilitarian resource extraction vs. environmental protection</w:t>
      </w:r>
      <w:r>
        <w:rPr>
          <w:rFonts w:eastAsia="Calibri"/>
        </w:rPr>
        <w:t xml:space="preserve">. Instead, </w:t>
      </w:r>
      <w:r>
        <w:rPr>
          <w:rFonts w:eastAsia="Calibri"/>
          <w:u w:val="single"/>
        </w:rPr>
        <w:t>it invites us to consider a normative system that respects Indigenous knowledge, non-human sovereignties, and the interdependence of all life forms within these fragile ecosystems</w:t>
      </w:r>
      <w:r>
        <w:rPr>
          <w:rFonts w:eastAsia="Calibri"/>
        </w:rPr>
        <w:t>. For us, to think of polar law on a speculative register means not just imagining future scenarios and arguments for legal governance but an overall rethinking of our way of polar governance itself. Speculation, in this sense, is not just about creating fictitious futures but an active, creative and critical process of prefiguration, as a means to envision the kind of polar governance we want to see in the future as both a normative and a political resituating exercise. If prefiguration becomes a political and normative praxis, then speculative academia becomes the venue for scholars to politicise.</w:t>
      </w:r>
    </w:p>
    <w:p w14:paraId="00F69E93" w14:textId="77777777" w:rsidR="00884C08" w:rsidRDefault="00884C08" w:rsidP="00884C08">
      <w:pPr>
        <w:spacing w:line="240" w:lineRule="auto"/>
        <w:rPr>
          <w:rFonts w:eastAsia="Calibri"/>
          <w:sz w:val="24"/>
          <w:szCs w:val="24"/>
        </w:rPr>
      </w:pPr>
      <w:r>
        <w:rPr>
          <w:rFonts w:eastAsia="Calibri"/>
        </w:rPr>
        <w:t xml:space="preserve">Speculative Academia – A turn to ‘Critical Polar Jurisprudence’ Using prefiguration as a point of analytical departure, we asked ourselves what is the kind of future that we want to have in the polar regions? Polar Law, as a subset of international law, is an artefact deeply embedded within the sociocultural paradigm of modernity and is inevitably infected with the methodologies and ideologies of this paradigm. The field of Polar Law as an academic discipline is riddled with doctrinal and formalist approaches to the Arctic and Antarctic legal issues. As international law researchers, we are often trained to look for gaps in our polar legal realities to heal (de lege ferenda), with almost messianic ambitions, the ills of our global collective social and environmental factual realities. Polar law is no exception, and black-letter methodologies abound. </w:t>
      </w:r>
      <w:r>
        <w:rPr>
          <w:rFonts w:eastAsia="Calibri"/>
          <w:highlight w:val="cyan"/>
          <w:u w:val="single"/>
        </w:rPr>
        <w:t>Even scholars whose research involves environmental law, decolonisation or people liberation movements</w:t>
      </w:r>
      <w:r>
        <w:rPr>
          <w:rFonts w:eastAsia="Calibri"/>
          <w:u w:val="single"/>
        </w:rPr>
        <w:t xml:space="preserve">, whose themes are perhaps more </w:t>
      </w:r>
      <w:r>
        <w:rPr>
          <w:rFonts w:eastAsia="Calibri"/>
          <w:u w:val="single"/>
        </w:rPr>
        <w:lastRenderedPageBreak/>
        <w:t xml:space="preserve">synonymous with a broad understanding of ‘justice’, </w:t>
      </w:r>
      <w:r>
        <w:rPr>
          <w:rFonts w:eastAsia="Calibri"/>
          <w:highlight w:val="cyan"/>
          <w:u w:val="single"/>
        </w:rPr>
        <w:t>often frame their arguments through a doctrinal lens to gain legitimacy</w:t>
      </w:r>
      <w:r>
        <w:rPr>
          <w:rFonts w:eastAsia="Calibri"/>
          <w:u w:val="single"/>
        </w:rPr>
        <w:t>.</w:t>
      </w:r>
    </w:p>
    <w:p w14:paraId="102E1F9C" w14:textId="77777777" w:rsidR="00884C08" w:rsidRDefault="00884C08" w:rsidP="00884C08">
      <w:pPr>
        <w:spacing w:line="240" w:lineRule="auto"/>
        <w:rPr>
          <w:rFonts w:eastAsia="Calibri"/>
          <w:sz w:val="24"/>
          <w:szCs w:val="24"/>
        </w:rPr>
      </w:pPr>
      <w:r>
        <w:rPr>
          <w:rFonts w:eastAsia="Calibri"/>
        </w:rPr>
        <w:t>As we aim to reimagine polar law in ways that are not limited to state modes of existence but include humans and more-than-human entities alike in this process, since August 2022 we have opened the register of speculation to what we term a ‘critical turn’ to polar law. In doing so, we contented that it was perhaps time to think of ‘Critical Polar Jurisprudence.’ In this context, we have been convening two streams annually at both the Polar Law Symposium14) and the Critical Legal Conference (CLC). The Polar Law Symposium gathers researchers from around the globe on an annual basis, providing a platform for the exchange of research-based scientific knowledge on a variety of issues pertinent to polar regions. Conversely, the CLC, which has been a pivotal gathering since its inception in 1986, serves as a critical venue for examining legal and political issues, through a vast array of theoretical approaches. That said, the Critical Polar Law initiative has emerged to bring these two together, reevaluate the assumptions commonly held about the polar regions and to address emerging issues in polar law through the lens of critical jurisprudence. It aims to deconstruct existing legal realities, such as the premise of conceptual superiority of state sovereignty and its role as the moulder of law and life in the polar regions.</w:t>
      </w:r>
    </w:p>
    <w:p w14:paraId="547F4B9C" w14:textId="77777777" w:rsidR="00884C08" w:rsidRDefault="00884C08" w:rsidP="00884C08">
      <w:pPr>
        <w:spacing w:line="240" w:lineRule="auto"/>
        <w:rPr>
          <w:rFonts w:eastAsia="Calibri"/>
          <w:sz w:val="24"/>
          <w:szCs w:val="24"/>
        </w:rPr>
      </w:pPr>
      <w:r>
        <w:rPr>
          <w:rFonts w:eastAsia="Calibri"/>
        </w:rPr>
        <w:t>Our way to speculate and prefigure the future of polar law was to engage on several topics from a more theoretical perspective with justice at the centre. While theories of justice have recently been advanced for Arctic governance,15) thus far our theoretical endeavours have focused on broadening this conversation not to focus neither governance nor on the poles specifically. In an age where planetary politics are being reassembled, we thought it was worth addressing what lies beyond. We therefore chose “theorising” as a means of prefiguration and practice to assess why the polar regions can be a site of theoretical inquiries. Along the way, we articulated thoughts around alternative theoretical reassessments of polar law.</w:t>
      </w:r>
    </w:p>
    <w:p w14:paraId="32847DE5" w14:textId="77777777" w:rsidR="00884C08" w:rsidRDefault="00884C08" w:rsidP="00884C08">
      <w:pPr>
        <w:spacing w:line="240" w:lineRule="auto"/>
        <w:rPr>
          <w:rFonts w:eastAsia="Calibri"/>
          <w:sz w:val="24"/>
          <w:szCs w:val="24"/>
        </w:rPr>
      </w:pPr>
      <w:r>
        <w:rPr>
          <w:rFonts w:eastAsia="Calibri"/>
        </w:rPr>
        <w:t>First, we advance the term Hyperborean Legalities to “summon dreamy visions of an alternative legal imaginary for the world’s northernmost region” and to analyse the Arctic as a liminal space, one that exists beyond legal dogmatic approaches. Conceptually, Hyperborean Legalities allowed us to challenge the superiority of state sovereignty and its role as the moulder of law and life in the region. The idea is to challenge both the way the poles are often imagined as empty, frozen, dark lands, and think alongside the different shapes, forms, and sources of normativity/ies in the regions.16)</w:t>
      </w:r>
    </w:p>
    <w:p w14:paraId="1FDE90A9" w14:textId="77777777" w:rsidR="00884C08" w:rsidRDefault="00884C08" w:rsidP="00884C08">
      <w:pPr>
        <w:spacing w:line="240" w:lineRule="auto"/>
        <w:rPr>
          <w:rFonts w:eastAsia="Calibri"/>
          <w:sz w:val="24"/>
          <w:szCs w:val="24"/>
        </w:rPr>
      </w:pPr>
      <w:r>
        <w:rPr>
          <w:rFonts w:eastAsia="Calibri"/>
        </w:rPr>
        <w:t xml:space="preserve">Second, and building on the Hyperborea, </w:t>
      </w:r>
      <w:r>
        <w:rPr>
          <w:rFonts w:eastAsia="Calibri"/>
          <w:u w:val="single"/>
        </w:rPr>
        <w:t>we analysed how the poles are portrayed as “common refuge”, and “areas beyond sovereignty,” yet also as spaces where state sovereignty/ies are often ontologically reinforced as a tool of exclusion</w:t>
      </w:r>
      <w:r>
        <w:rPr>
          <w:rFonts w:eastAsia="Calibri"/>
        </w:rPr>
        <w:t xml:space="preserve">. </w:t>
      </w:r>
      <w:r>
        <w:rPr>
          <w:rFonts w:eastAsia="Calibri"/>
          <w:u w:val="single"/>
        </w:rPr>
        <w:t>In this context, in mainstream legal imagination, they become “quasi-frozen sanctuaries” where law freezes yet governance thrives</w:t>
      </w:r>
      <w:r>
        <w:rPr>
          <w:rFonts w:eastAsia="Calibri"/>
        </w:rPr>
        <w:t xml:space="preserve">. In these perceived liminal regions with complex legal, environmental, and social dynamics, challenging dominant governance structures and traditional norms. </w:t>
      </w:r>
      <w:r>
        <w:rPr>
          <w:rFonts w:eastAsia="Calibri"/>
          <w:u w:val="single"/>
        </w:rPr>
        <w:t>These regions, with their shifting cryospheric landscapes,17) serve as sanctuaries that bring to light the urgent need to address climate change and reconsider the relationship between humans and marine spaces. However, another narrative can be storied; one where the fluidity, materiality, and disappearance of ice18) can be thought of as a “sanctuary” that invites a rethinking of environmental protection, legal frameworks, and the struggle against territorial enclosures in a destabilised planetary context.</w:t>
      </w:r>
      <w:r>
        <w:rPr>
          <w:rFonts w:eastAsia="Calibri"/>
        </w:rPr>
        <w:t xml:space="preserve"> To come back to prefiguration, water in a frozen state can become a source of law. Its disappearance and the longing for the cold help speculate a normative future that cares for the human and non-human modes of existence it supports.19) This care is not merely a passive concern but an active relational engagement, recognizing the interconnectedness of human and non-human entities.20) Thinking about ice as a source of law thus allows us to leave behind landlocked state-bound legal thinking, transcend the constructed ontology of a land-sea dichotomy, and think fluidilly about oceanic spaces in all their passing and temporal physical states.</w:t>
      </w:r>
    </w:p>
    <w:p w14:paraId="38606E66" w14:textId="77777777" w:rsidR="00884C08" w:rsidRDefault="00884C08" w:rsidP="00884C08">
      <w:pPr>
        <w:spacing w:line="240" w:lineRule="auto"/>
        <w:rPr>
          <w:rFonts w:eastAsia="Calibri"/>
          <w:sz w:val="24"/>
          <w:szCs w:val="24"/>
        </w:rPr>
      </w:pPr>
      <w:r>
        <w:rPr>
          <w:rFonts w:eastAsia="Calibri"/>
        </w:rPr>
        <w:t xml:space="preserve">Lastly, </w:t>
      </w:r>
      <w:r>
        <w:rPr>
          <w:rFonts w:eastAsia="Calibri"/>
          <w:b/>
          <w:bCs/>
          <w:highlight w:val="cyan"/>
          <w:u w:val="single"/>
        </w:rPr>
        <w:t xml:space="preserve">it is important to acknowledge that any political and theoretical engagements with the governance of polar regions cannot be detached from </w:t>
      </w:r>
      <w:r>
        <w:rPr>
          <w:rFonts w:eastAsia="Calibri"/>
          <w:b/>
          <w:bCs/>
          <w:u w:val="single"/>
        </w:rPr>
        <w:t xml:space="preserve">multiple unfolding </w:t>
      </w:r>
      <w:r>
        <w:rPr>
          <w:rFonts w:eastAsia="Calibri"/>
          <w:b/>
          <w:bCs/>
          <w:highlight w:val="cyan"/>
          <w:u w:val="single"/>
        </w:rPr>
        <w:t>planetary crises</w:t>
      </w:r>
      <w:r>
        <w:rPr>
          <w:rFonts w:eastAsia="Calibri"/>
        </w:rPr>
        <w:t xml:space="preserve">. </w:t>
      </w:r>
      <w:r>
        <w:rPr>
          <w:rFonts w:eastAsia="Calibri"/>
          <w:highlight w:val="cyan"/>
          <w:u w:val="single"/>
        </w:rPr>
        <w:t xml:space="preserve">The pitfall of structuring the production of epistemic and normative knowledge around delimited geographies </w:t>
      </w:r>
      <w:r>
        <w:rPr>
          <w:rFonts w:eastAsia="Calibri"/>
          <w:b/>
          <w:bCs/>
          <w:highlight w:val="cyan"/>
          <w:u w:val="single"/>
        </w:rPr>
        <w:t>is that it can lead to tunnel vision</w:t>
      </w:r>
      <w:r>
        <w:rPr>
          <w:rFonts w:eastAsia="Calibri"/>
          <w:u w:val="single"/>
        </w:rPr>
        <w:t xml:space="preserve"> where one becomes unable to see beyond regional impacts</w:t>
      </w:r>
      <w:r>
        <w:rPr>
          <w:rFonts w:eastAsia="Calibri"/>
        </w:rPr>
        <w:t>. Much like states, polar geographies have been carefully constructed along sovereign lines.21) To resist the ever-</w:t>
      </w:r>
      <w:r>
        <w:rPr>
          <w:rFonts w:eastAsia="Calibri"/>
        </w:rPr>
        <w:lastRenderedPageBreak/>
        <w:t xml:space="preserve">creeping might of sovereign powers, it is therefore important to prefigure polar governance as planetary politics and part of the Earth system. As such, </w:t>
      </w:r>
      <w:r>
        <w:rPr>
          <w:rFonts w:eastAsia="Calibri"/>
          <w:u w:val="single"/>
        </w:rPr>
        <w:t>polar governance needs to come to terms that nothing is polar yet everything is.</w:t>
      </w:r>
      <w:r>
        <w:rPr>
          <w:rFonts w:eastAsia="Calibri"/>
        </w:rPr>
        <w:t xml:space="preserve"> In Cirkovic’s words, this calls for a “new ontological understanding of the global politico-juridical space” that “approximate the inclusion and representation of ‘everything considered to be non-human”.22) In </w:t>
      </w:r>
      <w:r>
        <w:rPr>
          <w:rFonts w:eastAsia="Calibri"/>
          <w:highlight w:val="cyan"/>
          <w:u w:val="single"/>
        </w:rPr>
        <w:t>speculating polar legal imagination</w:t>
      </w:r>
      <w:r>
        <w:rPr>
          <w:rFonts w:eastAsia="Calibri"/>
          <w:u w:val="single"/>
        </w:rPr>
        <w:t xml:space="preserve">, we therefore argue that the </w:t>
      </w:r>
      <w:r>
        <w:rPr>
          <w:rFonts w:eastAsia="Calibri"/>
          <w:highlight w:val="cyan"/>
          <w:u w:val="single"/>
        </w:rPr>
        <w:t>Arctic and Antarctic regions are</w:t>
      </w:r>
      <w:r>
        <w:rPr>
          <w:rFonts w:eastAsia="Calibri"/>
          <w:u w:val="single"/>
        </w:rPr>
        <w:t xml:space="preserve"> not merely as amalgamates of geographies subjected to climate change and geopolitical contestations but as </w:t>
      </w:r>
      <w:r>
        <w:rPr>
          <w:rFonts w:eastAsia="Calibri"/>
          <w:highlight w:val="cyan"/>
          <w:u w:val="single"/>
        </w:rPr>
        <w:t>conceptual spaces where the traditional notions of sovereignty, legality, and normativity are now unfrozen</w:t>
      </w:r>
      <w:r>
        <w:rPr>
          <w:rFonts w:eastAsia="Calibri"/>
          <w:u w:val="single"/>
        </w:rPr>
        <w:t xml:space="preserve"> and set adrift in the open sea of speculative jurisprudence</w:t>
      </w:r>
      <w:r>
        <w:rPr>
          <w:rFonts w:eastAsia="Calibri"/>
        </w:rPr>
        <w:t xml:space="preserve">. </w:t>
      </w:r>
      <w:r>
        <w:rPr>
          <w:rFonts w:eastAsia="Calibri"/>
          <w:u w:val="single"/>
        </w:rPr>
        <w:t xml:space="preserve">In this space, </w:t>
      </w:r>
      <w:r>
        <w:rPr>
          <w:rFonts w:eastAsia="Calibri"/>
          <w:highlight w:val="cyan"/>
          <w:u w:val="single"/>
        </w:rPr>
        <w:t>speculation becomes a creative endeavour that seeks to articulate, enact visions of coexistence and justice</w:t>
      </w:r>
      <w:r>
        <w:rPr>
          <w:rFonts w:eastAsia="Calibri"/>
          <w:u w:val="single"/>
        </w:rPr>
        <w:t xml:space="preserve"> that are attuned to the specificities of the polar ecologies and histories</w:t>
      </w:r>
      <w:r>
        <w:rPr>
          <w:rFonts w:eastAsia="Calibri"/>
        </w:rPr>
        <w:t xml:space="preserve"> </w:t>
      </w:r>
      <w:r>
        <w:rPr>
          <w:rFonts w:eastAsia="Calibri"/>
          <w:u w:val="single"/>
        </w:rPr>
        <w:t xml:space="preserve">and seek new paths for legal theory </w:t>
      </w:r>
      <w:r>
        <w:rPr>
          <w:rFonts w:eastAsia="Calibri"/>
        </w:rPr>
        <w:t>and practice in a collective reimagining of what law can and should be in a broader planetary context.</w:t>
      </w:r>
    </w:p>
    <w:p w14:paraId="66781213" w14:textId="77777777" w:rsidR="00884C08" w:rsidRDefault="00884C08" w:rsidP="00884C08">
      <w:pPr>
        <w:spacing w:line="240" w:lineRule="auto"/>
        <w:rPr>
          <w:rFonts w:eastAsia="Calibri"/>
        </w:rPr>
      </w:pPr>
      <w:r>
        <w:rPr>
          <w:rFonts w:eastAsia="Calibri"/>
        </w:rPr>
        <w:t xml:space="preserve">Critical Polar Jurisprudence – The Way Forward To conclude, the aim of this article is to show that prefigurating and speculating our collective normative futures in the polar regions requires a commitment to facing planetary politics. </w:t>
      </w:r>
      <w:r>
        <w:rPr>
          <w:rFonts w:eastAsia="Calibri"/>
          <w:b/>
          <w:bCs/>
          <w:highlight w:val="cyan"/>
          <w:u w:val="single"/>
        </w:rPr>
        <w:t xml:space="preserve">The space is </w:t>
      </w:r>
      <w:r>
        <w:rPr>
          <w:rFonts w:eastAsia="Calibri"/>
          <w:b/>
          <w:bCs/>
          <w:u w:val="single"/>
        </w:rPr>
        <w:t xml:space="preserve">wide </w:t>
      </w:r>
      <w:r>
        <w:rPr>
          <w:rFonts w:eastAsia="Calibri"/>
          <w:b/>
          <w:bCs/>
          <w:highlight w:val="cyan"/>
          <w:u w:val="single"/>
        </w:rPr>
        <w:t>open for legal speculation</w:t>
      </w:r>
      <w:r>
        <w:rPr>
          <w:rFonts w:eastAsia="Calibri"/>
          <w:b/>
          <w:bCs/>
          <w:u w:val="single"/>
        </w:rPr>
        <w:t xml:space="preserve"> in polar law; not only as a means to rethinking legal norms and epistemological practices</w:t>
      </w:r>
      <w:r>
        <w:rPr>
          <w:rFonts w:eastAsia="Calibri"/>
        </w:rPr>
        <w:t xml:space="preserve"> (although to some extent it is necessary) </w:t>
      </w:r>
      <w:r>
        <w:rPr>
          <w:rFonts w:eastAsia="Calibri"/>
          <w:b/>
          <w:bCs/>
          <w:u w:val="single"/>
        </w:rPr>
        <w:t xml:space="preserve">but </w:t>
      </w:r>
      <w:r>
        <w:rPr>
          <w:rFonts w:eastAsia="Calibri"/>
          <w:b/>
          <w:bCs/>
          <w:highlight w:val="cyan"/>
          <w:u w:val="single"/>
        </w:rPr>
        <w:t xml:space="preserve">as a means to speculate the </w:t>
      </w:r>
      <w:r>
        <w:rPr>
          <w:rFonts w:eastAsia="Calibri"/>
          <w:b/>
          <w:bCs/>
          <w:u w:val="single"/>
        </w:rPr>
        <w:t xml:space="preserve">kind of </w:t>
      </w:r>
      <w:r>
        <w:rPr>
          <w:rFonts w:eastAsia="Calibri"/>
          <w:b/>
          <w:bCs/>
          <w:highlight w:val="cyan"/>
          <w:u w:val="single"/>
        </w:rPr>
        <w:t xml:space="preserve">future we </w:t>
      </w:r>
      <w:r>
        <w:rPr>
          <w:rFonts w:eastAsia="Calibri"/>
          <w:b/>
          <w:bCs/>
          <w:u w:val="single"/>
        </w:rPr>
        <w:t xml:space="preserve">truly </w:t>
      </w:r>
      <w:r>
        <w:rPr>
          <w:rFonts w:eastAsia="Calibri"/>
          <w:b/>
          <w:bCs/>
          <w:highlight w:val="cyan"/>
          <w:u w:val="single"/>
        </w:rPr>
        <w:t>want</w:t>
      </w:r>
      <w:r>
        <w:rPr>
          <w:rFonts w:eastAsia="Calibri"/>
          <w:b/>
          <w:bCs/>
          <w:u w:val="single"/>
        </w:rPr>
        <w:t>;</w:t>
      </w:r>
      <w:r>
        <w:rPr>
          <w:rFonts w:eastAsia="Calibri"/>
          <w:u w:val="single"/>
        </w:rPr>
        <w:t xml:space="preserve"> identify and create relationships as a community of planetary care</w:t>
      </w:r>
      <w:r>
        <w:rPr>
          <w:rFonts w:eastAsia="Calibri"/>
        </w:rPr>
        <w:t xml:space="preserve">. At the heart of prefiguration lies a (re)centring of justice that is not enclosed and bound by state modes of existence. </w:t>
      </w:r>
      <w:r>
        <w:rPr>
          <w:rFonts w:eastAsia="Calibri"/>
          <w:u w:val="single"/>
        </w:rPr>
        <w:t>Speculating for the polar oceans means turning our thinking both onto microscopic and planetary concerns as part of relationalities and deep entanglements</w:t>
      </w:r>
      <w:r>
        <w:rPr>
          <w:rFonts w:eastAsia="Calibri"/>
        </w:rPr>
        <w:t xml:space="preserve">. In this context, </w:t>
      </w:r>
      <w:r>
        <w:rPr>
          <w:rFonts w:eastAsia="Calibri"/>
          <w:u w:val="single"/>
        </w:rPr>
        <w:t>speculating better and more just futures for the polar regions potentially means not thinking about the polar regions in isolation and as a one-fit-all discipline. It invites the need for polar law scholarship to embrace a myriad of disciplines</w:t>
      </w:r>
      <w:r>
        <w:rPr>
          <w:rFonts w:eastAsia="Calibri"/>
        </w:rPr>
        <w:t>. Next year, we hope to launch the Critical Polar Jurisprudence (CPJ) initiative at both the annual Polar Law Symposium and the Critical Legal Conference, respectively. We invite you to join us in summoning visionary alternatives for the legal frameworks governing the poles.</w:t>
      </w:r>
    </w:p>
    <w:p w14:paraId="275A46A2" w14:textId="77777777" w:rsidR="00884C08" w:rsidRDefault="00884C08" w:rsidP="00884C08">
      <w:pPr>
        <w:pStyle w:val="Heading4"/>
        <w:rPr>
          <w:rFonts w:eastAsia="Calibri" w:cs="Calibri"/>
          <w:b w:val="0"/>
          <w:bCs/>
          <w:color w:val="000000"/>
          <w:szCs w:val="26"/>
        </w:rPr>
      </w:pPr>
      <w:r>
        <w:rPr>
          <w:rFonts w:eastAsia="Calibri" w:cs="Calibri"/>
          <w:bCs/>
          <w:color w:val="000000"/>
          <w:szCs w:val="26"/>
        </w:rPr>
        <w:t>The threat of collective death under ecological crises relies on an All Lives Matter logic that devalues the lives of BIPOC in its calculus and displaces responsibility from those who reproduce ecological precarity as a form of structural violence</w:t>
      </w:r>
    </w:p>
    <w:p w14:paraId="4D5485A0" w14:textId="77777777" w:rsidR="00884C08" w:rsidRDefault="00884C08" w:rsidP="00884C08">
      <w:pPr>
        <w:spacing w:after="120" w:line="240" w:lineRule="auto"/>
        <w:rPr>
          <w:rFonts w:eastAsia="Calibri"/>
          <w:sz w:val="24"/>
          <w:szCs w:val="24"/>
        </w:rPr>
      </w:pPr>
      <w:r>
        <w:rPr>
          <w:rFonts w:eastAsia="Calibri"/>
          <w:b/>
          <w:bCs/>
          <w:sz w:val="26"/>
          <w:szCs w:val="26"/>
        </w:rPr>
        <w:t>Mitchell &amp; Chaudhury, ‘20</w:t>
      </w:r>
    </w:p>
    <w:p w14:paraId="3E971D9F" w14:textId="77777777" w:rsidR="00884C08" w:rsidRDefault="00884C08" w:rsidP="00884C08">
      <w:pPr>
        <w:spacing w:line="240" w:lineRule="auto"/>
        <w:rPr>
          <w:rFonts w:eastAsia="Calibri"/>
          <w:sz w:val="24"/>
          <w:szCs w:val="24"/>
        </w:rPr>
      </w:pPr>
      <w:r>
        <w:rPr>
          <w:rFonts w:eastAsia="Calibri"/>
        </w:rPr>
        <w:t>(Audra, Canada Research Chair in Global Political Ecology at the Balsillie School of International Affairs, and Aadita, PhD candidate at the Department of Science and Technology Studies at York University, “Worlding beyond ‘the’ ‘end’ of ‘the world’: white apocalyptic visions and BIPOC futurisms,” International Relations, Research Article, pp. 5-6, ZW)</w:t>
      </w:r>
    </w:p>
    <w:p w14:paraId="46583614" w14:textId="77777777" w:rsidR="00884C08" w:rsidRDefault="00884C08" w:rsidP="00884C08">
      <w:pPr>
        <w:spacing w:line="240" w:lineRule="auto"/>
        <w:rPr>
          <w:rFonts w:eastAsia="Calibri"/>
          <w:sz w:val="24"/>
          <w:szCs w:val="24"/>
        </w:rPr>
      </w:pPr>
      <w:r>
        <w:rPr>
          <w:rFonts w:eastAsia="Calibri"/>
        </w:rPr>
        <w:t xml:space="preserve">In addition, </w:t>
      </w:r>
      <w:r>
        <w:rPr>
          <w:rFonts w:eastAsia="Calibri"/>
          <w:u w:val="single"/>
        </w:rPr>
        <w:t>many</w:t>
      </w:r>
      <w:r>
        <w:rPr>
          <w:rFonts w:eastAsia="Calibri"/>
        </w:rPr>
        <w:t xml:space="preserve"> </w:t>
      </w:r>
      <w:r>
        <w:rPr>
          <w:rFonts w:eastAsia="Calibri"/>
          <w:highlight w:val="yellow"/>
          <w:u w:val="single"/>
        </w:rPr>
        <w:t>‘end of the world’ narratives interpellate subjects of white privilege by assuming</w:t>
      </w:r>
      <w:r>
        <w:rPr>
          <w:rFonts w:eastAsia="Calibri"/>
        </w:rPr>
        <w:t xml:space="preserve"> </w:t>
      </w:r>
      <w:r>
        <w:rPr>
          <w:rFonts w:eastAsia="Calibri"/>
          <w:u w:val="single"/>
        </w:rPr>
        <w:t>that</w:t>
      </w:r>
      <w:r>
        <w:rPr>
          <w:rFonts w:eastAsia="Calibri"/>
        </w:rPr>
        <w:t xml:space="preserve"> </w:t>
      </w:r>
      <w:r>
        <w:rPr>
          <w:rFonts w:eastAsia="Calibri"/>
          <w:highlight w:val="yellow"/>
          <w:u w:val="single"/>
        </w:rPr>
        <w:t>readers are not (currently) affected by</w:t>
      </w:r>
      <w:r>
        <w:rPr>
          <w:rFonts w:eastAsia="Calibri"/>
        </w:rPr>
        <w:t xml:space="preserve"> </w:t>
      </w:r>
      <w:r>
        <w:rPr>
          <w:rFonts w:eastAsia="Calibri"/>
          <w:u w:val="single"/>
        </w:rPr>
        <w:t>the</w:t>
      </w:r>
      <w:r>
        <w:rPr>
          <w:rFonts w:eastAsia="Calibri"/>
        </w:rPr>
        <w:t xml:space="preserve"> </w:t>
      </w:r>
      <w:r>
        <w:rPr>
          <w:rFonts w:eastAsia="Calibri"/>
          <w:highlight w:val="yellow"/>
          <w:u w:val="single"/>
        </w:rPr>
        <w:t>harms distributed unequally by</w:t>
      </w:r>
      <w:r>
        <w:rPr>
          <w:rFonts w:eastAsia="Calibri"/>
        </w:rPr>
        <w:t xml:space="preserve"> </w:t>
      </w:r>
      <w:r>
        <w:rPr>
          <w:rFonts w:eastAsia="Calibri"/>
          <w:u w:val="single"/>
        </w:rPr>
        <w:t>global structures of</w:t>
      </w:r>
      <w:r>
        <w:rPr>
          <w:rFonts w:eastAsia="Calibri"/>
        </w:rPr>
        <w:t xml:space="preserve"> </w:t>
      </w:r>
      <w:r>
        <w:rPr>
          <w:rFonts w:eastAsia="Calibri"/>
          <w:highlight w:val="yellow"/>
          <w:u w:val="single"/>
        </w:rPr>
        <w:t>environmental racism.</w:t>
      </w:r>
      <w:r>
        <w:rPr>
          <w:rFonts w:eastAsia="Calibri"/>
        </w:rPr>
        <w:t xml:space="preserve"> For instance, </w:t>
      </w:r>
      <w:r>
        <w:rPr>
          <w:rFonts w:eastAsia="Calibri"/>
          <w:u w:val="single"/>
        </w:rPr>
        <w:t>Barnosky and Hadley</w:t>
      </w:r>
      <w:r>
        <w:rPr>
          <w:rFonts w:eastAsia="Calibri"/>
        </w:rPr>
        <w:t xml:space="preserve">29 (italics ours) </w:t>
      </w:r>
      <w:r>
        <w:rPr>
          <w:rFonts w:eastAsia="Calibri"/>
          <w:u w:val="single"/>
        </w:rPr>
        <w:t>state, ‘if you are anything like we are, you probably think of pollution as somebody else’s problem. . . you probably don’t live near a tannery, mine dump or any other source of pollution’.</w:t>
      </w:r>
      <w:r>
        <w:rPr>
          <w:rFonts w:eastAsia="Calibri"/>
        </w:rPr>
        <w:t xml:space="preserve"> </w:t>
      </w:r>
      <w:r>
        <w:rPr>
          <w:rFonts w:eastAsia="Calibri"/>
          <w:highlight w:val="yellow"/>
          <w:u w:val="single"/>
        </w:rPr>
        <w:t>For many p</w:t>
      </w:r>
      <w:r>
        <w:rPr>
          <w:rFonts w:eastAsia="Calibri"/>
          <w:u w:val="single"/>
        </w:rPr>
        <w:t>eople</w:t>
      </w:r>
      <w:r>
        <w:rPr>
          <w:rFonts w:eastAsia="Calibri"/>
        </w:rPr>
        <w:t xml:space="preserve"> </w:t>
      </w:r>
      <w:r>
        <w:rPr>
          <w:rFonts w:eastAsia="Calibri"/>
          <w:highlight w:val="yellow"/>
          <w:u w:val="single"/>
        </w:rPr>
        <w:t>o</w:t>
      </w:r>
      <w:r>
        <w:rPr>
          <w:rFonts w:eastAsia="Calibri"/>
          <w:u w:val="single"/>
        </w:rPr>
        <w:t>f</w:t>
      </w:r>
      <w:r>
        <w:rPr>
          <w:rFonts w:eastAsia="Calibri"/>
        </w:rPr>
        <w:t xml:space="preserve"> </w:t>
      </w:r>
      <w:r>
        <w:rPr>
          <w:rFonts w:eastAsia="Calibri"/>
          <w:highlight w:val="yellow"/>
          <w:u w:val="single"/>
        </w:rPr>
        <w:t>c</w:t>
      </w:r>
      <w:r>
        <w:rPr>
          <w:rFonts w:eastAsia="Calibri"/>
          <w:u w:val="single"/>
        </w:rPr>
        <w:t>olor,</w:t>
      </w:r>
      <w:r>
        <w:rPr>
          <w:rFonts w:eastAsia="Calibri"/>
        </w:rPr>
        <w:t xml:space="preserve"> </w:t>
      </w:r>
      <w:r>
        <w:rPr>
          <w:rFonts w:eastAsia="Calibri"/>
          <w:highlight w:val="yellow"/>
          <w:u w:val="single"/>
        </w:rPr>
        <w:t>living near a source of pollution may be nearly inescapable as a result of structural-material discrimination</w:t>
      </w:r>
      <w:r>
        <w:rPr>
          <w:rFonts w:eastAsia="Calibri"/>
          <w:u w:val="single"/>
        </w:rPr>
        <w:t>, including zoning practices and the accessibility of housing.</w:t>
      </w:r>
      <w:r>
        <w:rPr>
          <w:rFonts w:eastAsia="Calibri"/>
        </w:rPr>
        <w:t xml:space="preserve">30 Viewing ecological harms as ‘someone else’s problem’ is a privilege afforded to those who have never been forced contemplate the destruction of their communities or worlds.31 </w:t>
      </w:r>
      <w:r>
        <w:rPr>
          <w:rFonts w:eastAsia="Calibri"/>
          <w:u w:val="single"/>
        </w:rPr>
        <w:t>At the same time, these</w:t>
      </w:r>
      <w:r>
        <w:rPr>
          <w:rFonts w:eastAsia="Calibri"/>
        </w:rPr>
        <w:t xml:space="preserve"> </w:t>
      </w:r>
      <w:r>
        <w:rPr>
          <w:rFonts w:eastAsia="Calibri"/>
          <w:highlight w:val="yellow"/>
          <w:u w:val="single"/>
        </w:rPr>
        <w:t>authors</w:t>
      </w:r>
      <w:r>
        <w:rPr>
          <w:rFonts w:eastAsia="Calibri"/>
        </w:rPr>
        <w:t xml:space="preserve"> – along with many others working in the genre – </w:t>
      </w:r>
      <w:r>
        <w:rPr>
          <w:rFonts w:eastAsia="Calibri"/>
          <w:highlight w:val="yellow"/>
          <w:u w:val="single"/>
        </w:rPr>
        <w:t>invoke narratives akin to ‘all lives matter’</w:t>
      </w:r>
      <w:r>
        <w:rPr>
          <w:rFonts w:eastAsia="Calibri"/>
        </w:rPr>
        <w:t xml:space="preserve"> or ‘colour-blindness’32 </w:t>
      </w:r>
      <w:r>
        <w:rPr>
          <w:rFonts w:eastAsia="Calibri"/>
          <w:highlight w:val="yellow"/>
          <w:u w:val="single"/>
        </w:rPr>
        <w:t>that erase unequal distributions of harm and threat</w:t>
      </w:r>
      <w:r>
        <w:rPr>
          <w:rFonts w:eastAsia="Calibri"/>
          <w:u w:val="single"/>
        </w:rPr>
        <w:t>.</w:t>
      </w:r>
      <w:r>
        <w:rPr>
          <w:rFonts w:eastAsia="Calibri"/>
        </w:rPr>
        <w:t xml:space="preserve"> For instance, during their international travels for scientific research and leisure, </w:t>
      </w:r>
      <w:r>
        <w:rPr>
          <w:rFonts w:eastAsia="Calibri"/>
          <w:u w:val="single"/>
        </w:rPr>
        <w:t>Barnosky and Hadley</w:t>
      </w:r>
      <w:r>
        <w:rPr>
          <w:rFonts w:eastAsia="Calibri"/>
        </w:rPr>
        <w:t xml:space="preserve"> (italics ours) </w:t>
      </w:r>
      <w:r>
        <w:rPr>
          <w:rFonts w:eastAsia="Calibri"/>
          <w:u w:val="single"/>
        </w:rPr>
        <w:t>describe a dawning awareness that ‘the problems we were writing about</w:t>
      </w:r>
      <w:r>
        <w:rPr>
          <w:rFonts w:eastAsia="Calibri"/>
        </w:rPr>
        <w:t xml:space="preserve">. . . </w:t>
      </w:r>
      <w:r>
        <w:rPr>
          <w:rFonts w:eastAsia="Calibri"/>
          <w:u w:val="single"/>
        </w:rPr>
        <w:t>were everybody’s problems</w:t>
      </w:r>
      <w:r>
        <w:rPr>
          <w:rFonts w:eastAsia="Calibri"/>
        </w:rPr>
        <w:t>. . .</w:t>
      </w:r>
      <w:r>
        <w:rPr>
          <w:rFonts w:eastAsia="Calibri"/>
          <w:u w:val="single"/>
        </w:rPr>
        <w:t>no one was escaping the impacts</w:t>
      </w:r>
      <w:r>
        <w:rPr>
          <w:rFonts w:eastAsia="Calibri"/>
        </w:rPr>
        <w:t xml:space="preserve">. . . </w:t>
      </w:r>
      <w:r>
        <w:rPr>
          <w:rFonts w:eastAsia="Calibri"/>
          <w:u w:val="single"/>
        </w:rPr>
        <w:t>including us’. They go on to frame as equivalent flooding in Pakistan that displaced 20 million people and killed 2000 with the inconveniences caused by the temporary flooding of the New York subway system in 2012.</w:t>
      </w:r>
      <w:r>
        <w:rPr>
          <w:rFonts w:eastAsia="Calibri"/>
        </w:rPr>
        <w:t xml:space="preserve"> In addition, </w:t>
      </w:r>
      <w:r>
        <w:rPr>
          <w:rFonts w:eastAsia="Calibri"/>
          <w:u w:val="single"/>
        </w:rPr>
        <w:t>they cite evidence of endocrine disruption in American girls caused by pollution, stating that the youngest of the cohort are African American and Latina but that ‘the most dramatic increase is in Caucasian girls’</w:t>
      </w:r>
      <w:r>
        <w:rPr>
          <w:rFonts w:eastAsia="Calibri"/>
        </w:rPr>
        <w:t xml:space="preserve">33 (italics ours). In this framing, </w:t>
      </w:r>
      <w:r>
        <w:rPr>
          <w:rFonts w:eastAsia="Calibri"/>
          <w:u w:val="single"/>
        </w:rPr>
        <w:t xml:space="preserve">even though BIPOC children remain most adversely affected, white children are pushed to the foreground and framed as more urgently threatened in </w:t>
      </w:r>
      <w:r>
        <w:rPr>
          <w:rFonts w:eastAsia="Calibri"/>
          <w:u w:val="single"/>
        </w:rPr>
        <w:lastRenderedPageBreak/>
        <w:t>relative terms.</w:t>
      </w:r>
      <w:r>
        <w:rPr>
          <w:rFonts w:eastAsia="Calibri"/>
        </w:rPr>
        <w:t xml:space="preserve"> </w:t>
      </w:r>
      <w:r>
        <w:rPr>
          <w:rFonts w:eastAsia="Calibri"/>
          <w:b/>
          <w:bCs/>
          <w:u w:val="single"/>
        </w:rPr>
        <w:t>These</w:t>
      </w:r>
      <w:r>
        <w:rPr>
          <w:rFonts w:eastAsia="Calibri"/>
        </w:rPr>
        <w:t xml:space="preserve"> </w:t>
      </w:r>
      <w:r>
        <w:rPr>
          <w:rFonts w:eastAsia="Calibri"/>
          <w:b/>
          <w:bCs/>
          <w:highlight w:val="yellow"/>
          <w:u w:val="single"/>
        </w:rPr>
        <w:t>comparisons</w:t>
      </w:r>
      <w:r>
        <w:rPr>
          <w:rFonts w:eastAsia="Calibri"/>
        </w:rPr>
        <w:t xml:space="preserve"> background the disproportionate burden of ecological harm born by BIPOC, and </w:t>
      </w:r>
      <w:r>
        <w:rPr>
          <w:rFonts w:eastAsia="Calibri"/>
          <w:b/>
          <w:bCs/>
          <w:highlight w:val="yellow"/>
          <w:u w:val="single"/>
        </w:rPr>
        <w:t>reflect a stark calculus of the relative value of white and BIPOC lives.</w:t>
      </w:r>
      <w:r>
        <w:rPr>
          <w:rFonts w:eastAsia="Calibri"/>
        </w:rPr>
        <w:t xml:space="preserve"> The </w:t>
      </w:r>
      <w:r>
        <w:rPr>
          <w:rFonts w:eastAsia="Calibri"/>
          <w:b/>
          <w:bCs/>
          <w:highlight w:val="yellow"/>
          <w:u w:val="single"/>
        </w:rPr>
        <w:t>‘all lives matter’ logic</w:t>
      </w:r>
      <w:r>
        <w:rPr>
          <w:rFonts w:eastAsia="Calibri"/>
        </w:rPr>
        <w:t xml:space="preserve"> employed here </w:t>
      </w:r>
      <w:r>
        <w:rPr>
          <w:rFonts w:eastAsia="Calibri"/>
          <w:b/>
          <w:bCs/>
          <w:highlight w:val="yellow"/>
          <w:u w:val="single"/>
        </w:rPr>
        <w:t>constructs ‘a universal human</w:t>
      </w:r>
      <w:r>
        <w:rPr>
          <w:rFonts w:eastAsia="Calibri"/>
        </w:rPr>
        <w:t xml:space="preserve"> </w:t>
      </w:r>
      <w:r>
        <w:rPr>
          <w:rFonts w:eastAsia="Calibri"/>
          <w:highlight w:val="yellow"/>
          <w:u w:val="single"/>
        </w:rPr>
        <w:t>frailty’</w:t>
      </w:r>
      <w:r>
        <w:rPr>
          <w:rFonts w:eastAsia="Calibri"/>
        </w:rPr>
        <w:t xml:space="preserve">34 </w:t>
      </w:r>
      <w:r>
        <w:rPr>
          <w:rFonts w:eastAsia="Calibri"/>
          <w:u w:val="single"/>
        </w:rPr>
        <w:t>in which</w:t>
      </w:r>
      <w:r>
        <w:rPr>
          <w:rFonts w:eastAsia="Calibri"/>
        </w:rPr>
        <w:t xml:space="preserve"> </w:t>
      </w:r>
      <w:r>
        <w:rPr>
          <w:rFonts w:eastAsia="Calibri"/>
          <w:b/>
          <w:bCs/>
          <w:u w:val="single"/>
        </w:rPr>
        <w:t>responsibility</w:t>
      </w:r>
      <w:r>
        <w:rPr>
          <w:rFonts w:eastAsia="Calibri"/>
        </w:rPr>
        <w:t xml:space="preserve"> </w:t>
      </w:r>
      <w:r>
        <w:rPr>
          <w:rFonts w:eastAsia="Calibri"/>
          <w:u w:val="single"/>
        </w:rPr>
        <w:t>for ecological threats is attributed to ‘humans’ in general,</w:t>
      </w:r>
      <w:r>
        <w:rPr>
          <w:rFonts w:eastAsia="Calibri"/>
        </w:rPr>
        <w:t xml:space="preserve"> </w:t>
      </w:r>
      <w:r>
        <w:rPr>
          <w:rFonts w:eastAsia="Calibri"/>
          <w:b/>
          <w:bCs/>
          <w:u w:val="single"/>
        </w:rPr>
        <w:t>and</w:t>
      </w:r>
      <w:r>
        <w:rPr>
          <w:rFonts w:eastAsia="Calibri"/>
        </w:rPr>
        <w:t xml:space="preserve"> </w:t>
      </w:r>
      <w:r>
        <w:rPr>
          <w:rFonts w:eastAsia="Calibri"/>
          <w:u w:val="single"/>
        </w:rPr>
        <w:t>the</w:t>
      </w:r>
      <w:r>
        <w:rPr>
          <w:rFonts w:eastAsia="Calibri"/>
        </w:rPr>
        <w:t xml:space="preserve"> </w:t>
      </w:r>
      <w:r>
        <w:rPr>
          <w:rFonts w:eastAsia="Calibri"/>
          <w:highlight w:val="yellow"/>
          <w:u w:val="single"/>
        </w:rPr>
        <w:t>assignment of</w:t>
      </w:r>
      <w:r>
        <w:rPr>
          <w:rFonts w:eastAsia="Calibri"/>
        </w:rPr>
        <w:t xml:space="preserve"> </w:t>
      </w:r>
      <w:r>
        <w:rPr>
          <w:rFonts w:eastAsia="Calibri"/>
          <w:b/>
          <w:bCs/>
          <w:highlight w:val="yellow"/>
          <w:u w:val="single"/>
        </w:rPr>
        <w:t>specific culpability is avoided.</w:t>
      </w:r>
      <w:r>
        <w:rPr>
          <w:rFonts w:eastAsia="Calibri"/>
        </w:rPr>
        <w:t xml:space="preserve"> While Newitz avers that ‘assigning blame [for ecological harm] is less important than figuring out how to. . . survive’,35 we argue that </w:t>
      </w:r>
      <w:r>
        <w:rPr>
          <w:rFonts w:eastAsia="Calibri"/>
          <w:b/>
          <w:bCs/>
          <w:highlight w:val="yellow"/>
          <w:u w:val="single"/>
        </w:rPr>
        <w:t>accurately attributing responsibility is</w:t>
      </w:r>
      <w:r>
        <w:rPr>
          <w:rFonts w:eastAsia="Calibri"/>
        </w:rPr>
        <w:t xml:space="preserve"> </w:t>
      </w:r>
      <w:r>
        <w:rPr>
          <w:rFonts w:eastAsia="Calibri"/>
          <w:b/>
          <w:bCs/>
          <w:u w:val="single"/>
        </w:rPr>
        <w:t>crucial to</w:t>
      </w:r>
      <w:r>
        <w:rPr>
          <w:rFonts w:eastAsia="Calibri"/>
        </w:rPr>
        <w:t xml:space="preserve"> </w:t>
      </w:r>
      <w:r>
        <w:rPr>
          <w:rFonts w:eastAsia="Calibri"/>
          <w:b/>
          <w:bCs/>
          <w:u w:val="single"/>
        </w:rPr>
        <w:t>opening</w:t>
      </w:r>
      <w:r>
        <w:rPr>
          <w:rFonts w:eastAsia="Calibri"/>
        </w:rPr>
        <w:t xml:space="preserve"> </w:t>
      </w:r>
      <w:r>
        <w:rPr>
          <w:rFonts w:eastAsia="Calibri"/>
          <w:u w:val="single"/>
        </w:rPr>
        <w:t>up</w:t>
      </w:r>
      <w:r>
        <w:rPr>
          <w:rFonts w:eastAsia="Calibri"/>
        </w:rPr>
        <w:t xml:space="preserve"> </w:t>
      </w:r>
      <w:r>
        <w:rPr>
          <w:rFonts w:eastAsia="Calibri"/>
          <w:b/>
          <w:bCs/>
          <w:u w:val="single"/>
        </w:rPr>
        <w:t>futures</w:t>
      </w:r>
      <w:r>
        <w:rPr>
          <w:rFonts w:eastAsia="Calibri"/>
        </w:rPr>
        <w:t xml:space="preserve"> </w:t>
      </w:r>
      <w:r>
        <w:rPr>
          <w:rFonts w:eastAsia="Calibri"/>
          <w:u w:val="single"/>
        </w:rPr>
        <w:t>in which it is possible</w:t>
      </w:r>
      <w:r>
        <w:rPr>
          <w:rFonts w:eastAsia="Calibri"/>
        </w:rPr>
        <w:t xml:space="preserve"> </w:t>
      </w:r>
      <w:r>
        <w:rPr>
          <w:rFonts w:eastAsia="Calibri"/>
          <w:b/>
          <w:bCs/>
          <w:highlight w:val="yellow"/>
          <w:u w:val="single"/>
        </w:rPr>
        <w:t>to dismantle</w:t>
      </w:r>
      <w:r>
        <w:rPr>
          <w:rFonts w:eastAsia="Calibri"/>
        </w:rPr>
        <w:t xml:space="preserve"> </w:t>
      </w:r>
      <w:r>
        <w:rPr>
          <w:rFonts w:eastAsia="Calibri"/>
          <w:u w:val="single"/>
        </w:rPr>
        <w:t>the</w:t>
      </w:r>
      <w:r>
        <w:rPr>
          <w:rFonts w:eastAsia="Calibri"/>
        </w:rPr>
        <w:t xml:space="preserve"> </w:t>
      </w:r>
      <w:r>
        <w:rPr>
          <w:rFonts w:eastAsia="Calibri"/>
          <w:b/>
          <w:bCs/>
          <w:highlight w:val="yellow"/>
          <w:u w:val="single"/>
        </w:rPr>
        <w:t>structural oppressions that unequally distribute harms and chances</w:t>
      </w:r>
      <w:r>
        <w:rPr>
          <w:rFonts w:eastAsia="Calibri"/>
        </w:rPr>
        <w:t xml:space="preserve"> </w:t>
      </w:r>
      <w:r>
        <w:rPr>
          <w:rFonts w:eastAsia="Calibri"/>
          <w:b/>
          <w:bCs/>
          <w:highlight w:val="yellow"/>
          <w:u w:val="single"/>
        </w:rPr>
        <w:t>for collective survival.</w:t>
      </w:r>
    </w:p>
    <w:p w14:paraId="411F6486" w14:textId="77777777" w:rsidR="00884C08" w:rsidRDefault="00884C08" w:rsidP="00884C08">
      <w:pPr>
        <w:pStyle w:val="Heading4"/>
        <w:rPr>
          <w:rFonts w:eastAsia="Calibri" w:cs="Calibri"/>
          <w:b w:val="0"/>
          <w:bCs/>
          <w:color w:val="000000"/>
          <w:szCs w:val="26"/>
        </w:rPr>
      </w:pPr>
      <w:r>
        <w:rPr>
          <w:rFonts w:eastAsia="Calibri" w:cs="Calibri"/>
          <w:bCs/>
          <w:color w:val="000000"/>
          <w:sz w:val="30"/>
          <w:szCs w:val="30"/>
        </w:rPr>
        <w:t xml:space="preserve">Low probability existential risk calculus produces </w:t>
      </w:r>
      <w:r>
        <w:rPr>
          <w:rFonts w:eastAsia="Calibri" w:cs="Calibri"/>
          <w:bCs/>
          <w:color w:val="000000"/>
          <w:sz w:val="30"/>
          <w:szCs w:val="30"/>
          <w:u w:val="single"/>
        </w:rPr>
        <w:t xml:space="preserve">useless </w:t>
      </w:r>
      <w:r>
        <w:rPr>
          <w:rFonts w:eastAsia="Calibri" w:cs="Calibri"/>
          <w:bCs/>
          <w:color w:val="000000"/>
          <w:sz w:val="30"/>
          <w:szCs w:val="30"/>
        </w:rPr>
        <w:t xml:space="preserve">policies and replicates </w:t>
      </w:r>
      <w:r>
        <w:rPr>
          <w:rFonts w:eastAsia="Calibri" w:cs="Calibri"/>
          <w:bCs/>
          <w:color w:val="000000"/>
          <w:sz w:val="30"/>
          <w:szCs w:val="30"/>
          <w:u w:val="single"/>
        </w:rPr>
        <w:t>eugenics</w:t>
      </w:r>
      <w:r>
        <w:rPr>
          <w:rFonts w:eastAsia="Calibri" w:cs="Calibri"/>
          <w:bCs/>
          <w:color w:val="000000"/>
          <w:sz w:val="30"/>
          <w:szCs w:val="30"/>
        </w:rPr>
        <w:t xml:space="preserve"> logic. </w:t>
      </w:r>
    </w:p>
    <w:p w14:paraId="42666B30" w14:textId="76B49372" w:rsidR="00884C08" w:rsidRPr="00B4170C" w:rsidRDefault="00884C08" w:rsidP="00B4170C">
      <w:pPr>
        <w:spacing w:line="240" w:lineRule="auto"/>
        <w:rPr>
          <w:rFonts w:eastAsia="Calibri"/>
          <w:sz w:val="24"/>
          <w:szCs w:val="24"/>
        </w:rPr>
      </w:pPr>
      <w:r>
        <w:rPr>
          <w:rFonts w:eastAsia="Calibri"/>
          <w:b/>
          <w:bCs/>
          <w:sz w:val="26"/>
          <w:szCs w:val="26"/>
        </w:rPr>
        <w:t xml:space="preserve">Schuster &amp; Woods ’21 </w:t>
      </w:r>
      <w:r>
        <w:rPr>
          <w:rFonts w:eastAsia="Calibri"/>
        </w:rPr>
        <w:t>[Joshua and Derek Woods; 2021; Associate Professor @ Western, PhD in English, University of Pennsylvania, Maîtrise, Université de Paris, X, Nanterre, Philosophy; Assistant Professor, Communication Studies &amp; Media Arts at McMaster, Ph.D. in English at Rice University; “Calamity Theory: Three Critiques of Existential Risk,”] </w:t>
      </w:r>
    </w:p>
    <w:p w14:paraId="6E2AF4EA" w14:textId="77777777" w:rsidR="00884C08" w:rsidRDefault="00884C08" w:rsidP="00884C08">
      <w:pPr>
        <w:spacing w:line="240" w:lineRule="auto"/>
        <w:rPr>
          <w:rFonts w:eastAsia="Calibri"/>
          <w:sz w:val="24"/>
          <w:szCs w:val="24"/>
        </w:rPr>
      </w:pPr>
      <w:r>
        <w:rPr>
          <w:rFonts w:eastAsia="Calibri"/>
          <w:sz w:val="14"/>
          <w:szCs w:val="14"/>
        </w:rPr>
        <w:t xml:space="preserve">The theoretical models used by existential risk analysts vacillate among deep time speculations, unknown risk horizons, and policy making in the present. What kind of scientific reasoning best fits these timescales and the “unprecedented” nature of the events in question? The </w:t>
      </w:r>
      <w:r>
        <w:rPr>
          <w:rFonts w:eastAsia="Calibri"/>
          <w:u w:val="single"/>
        </w:rPr>
        <w:t xml:space="preserve">philosophers of existential risk deploy a model of probability far more than actual calculation. But they promise that their account of “possible” extinctions and the actions that will help humans avoid them can and will have a quantitative foundation. Their claim is that </w:t>
      </w:r>
      <w:r>
        <w:rPr>
          <w:rFonts w:eastAsia="Calibri"/>
          <w:b/>
          <w:bCs/>
          <w:sz w:val="28"/>
          <w:szCs w:val="28"/>
          <w:highlight w:val="cyan"/>
          <w:u w:val="single"/>
        </w:rPr>
        <w:t>low probability</w:t>
      </w:r>
      <w:r>
        <w:rPr>
          <w:rFonts w:eastAsia="Calibri"/>
          <w:highlight w:val="cyan"/>
          <w:u w:val="single"/>
        </w:rPr>
        <w:t xml:space="preserve"> plus </w:t>
      </w:r>
      <w:r>
        <w:rPr>
          <w:rFonts w:eastAsia="Calibri"/>
          <w:b/>
          <w:bCs/>
          <w:sz w:val="28"/>
          <w:szCs w:val="28"/>
          <w:highlight w:val="cyan"/>
          <w:u w:val="single"/>
        </w:rPr>
        <w:t>extinction</w:t>
      </w:r>
      <w:r>
        <w:rPr>
          <w:rFonts w:eastAsia="Calibri"/>
          <w:u w:val="single"/>
        </w:rPr>
        <w:t>-level significance means we should care more about existential risks than anything else</w:t>
      </w:r>
      <w:r>
        <w:rPr>
          <w:rFonts w:eastAsia="Calibri"/>
          <w:sz w:val="14"/>
          <w:szCs w:val="14"/>
        </w:rPr>
        <w:t>—and that this level of analysis is truly the ultimate priority of “effective altruism.” In the case of avoiding remotely probable existential risks, the benefits and rewards are postponed for a future distant enough that it will be hard for most to care deeply about it, with the added complication that many of these extinction scenarios might not be possible in the first place. It would not be fair to say that existential risk is fundamentally incoherent when assessing risk probability and leave it at that. But this caricature gets at something that we will take up with more rigor in this chapter.</w:t>
      </w:r>
    </w:p>
    <w:p w14:paraId="0102A51B" w14:textId="77777777" w:rsidR="00884C08" w:rsidRDefault="00884C08" w:rsidP="00884C08">
      <w:pPr>
        <w:spacing w:line="240" w:lineRule="auto"/>
        <w:rPr>
          <w:rFonts w:eastAsia="Calibri"/>
          <w:sz w:val="24"/>
          <w:szCs w:val="24"/>
        </w:rPr>
      </w:pPr>
      <w:r>
        <w:rPr>
          <w:rFonts w:eastAsia="Calibri"/>
          <w:sz w:val="14"/>
          <w:szCs w:val="14"/>
        </w:rPr>
        <w:t xml:space="preserve">The field of existential risk </w:t>
      </w:r>
      <w:r>
        <w:rPr>
          <w:rFonts w:eastAsia="Calibri"/>
          <w:u w:val="single"/>
        </w:rPr>
        <w:t xml:space="preserve">combines utilitarianism and probabilistic risk analysis toward a fortuitous “ok” outcome </w:t>
      </w:r>
      <w:r>
        <w:rPr>
          <w:rFonts w:eastAsia="Calibri"/>
          <w:sz w:val="14"/>
          <w:szCs w:val="14"/>
        </w:rPr>
        <w:t xml:space="preserve">(Bostrom’s “maxipok”). On the one hand, </w:t>
      </w:r>
      <w:r>
        <w:rPr>
          <w:rFonts w:eastAsia="Calibri"/>
          <w:u w:val="single"/>
        </w:rPr>
        <w:t>existential risk analysts aim at the utilitarian goal of establishing the greatest good for the greatest number.</w:t>
      </w:r>
      <w:r>
        <w:rPr>
          <w:rFonts w:eastAsia="Calibri"/>
          <w:sz w:val="14"/>
          <w:szCs w:val="14"/>
        </w:rPr>
        <w:t xml:space="preserve"> On the other hand, </w:t>
      </w:r>
      <w:r>
        <w:rPr>
          <w:rFonts w:eastAsia="Calibri"/>
          <w:u w:val="single"/>
        </w:rPr>
        <w:t>they seek to use mathematical probability models to estimate the chance that a given cause will lead to the extinction of humanity,</w:t>
      </w:r>
      <w:r>
        <w:rPr>
          <w:rFonts w:eastAsia="Calibri"/>
          <w:sz w:val="14"/>
          <w:szCs w:val="14"/>
        </w:rPr>
        <w:t xml:space="preserve"> or even of life in general.2 </w:t>
      </w:r>
      <w:r>
        <w:rPr>
          <w:rFonts w:eastAsia="Calibri"/>
          <w:u w:val="single"/>
        </w:rPr>
        <w:t>The crux of existential risk analysis is the synthesis of these two modes of calculative reasoning. But this crux is also a failure:</w:t>
      </w:r>
      <w:r>
        <w:rPr>
          <w:rFonts w:eastAsia="Calibri"/>
        </w:rPr>
        <w:t xml:space="preserve"> </w:t>
      </w:r>
      <w:r>
        <w:rPr>
          <w:rFonts w:eastAsia="Calibri"/>
          <w:sz w:val="14"/>
          <w:szCs w:val="14"/>
        </w:rPr>
        <w:t xml:space="preserve">as we show in this section, </w:t>
      </w:r>
      <w:r>
        <w:rPr>
          <w:rFonts w:eastAsia="Calibri"/>
          <w:u w:val="single"/>
        </w:rPr>
        <w:t xml:space="preserve">existential risk analysis </w:t>
      </w:r>
      <w:r>
        <w:rPr>
          <w:rFonts w:eastAsia="Calibri"/>
          <w:highlight w:val="cyan"/>
          <w:u w:val="single"/>
        </w:rPr>
        <w:t>is</w:t>
      </w:r>
      <w:r>
        <w:rPr>
          <w:rFonts w:eastAsia="Calibri"/>
          <w:u w:val="single"/>
        </w:rPr>
        <w:t xml:space="preserve"> constituted by </w:t>
      </w:r>
      <w:r>
        <w:rPr>
          <w:rFonts w:eastAsia="Calibri"/>
          <w:highlight w:val="cyan"/>
          <w:u w:val="single"/>
        </w:rPr>
        <w:t xml:space="preserve">a </w:t>
      </w:r>
      <w:r>
        <w:rPr>
          <w:rFonts w:eastAsia="Calibri"/>
          <w:b/>
          <w:bCs/>
          <w:sz w:val="28"/>
          <w:szCs w:val="28"/>
          <w:highlight w:val="cyan"/>
          <w:u w:val="single"/>
        </w:rPr>
        <w:t xml:space="preserve">radical mismatch </w:t>
      </w:r>
      <w:r>
        <w:rPr>
          <w:rFonts w:eastAsia="Calibri"/>
          <w:u w:val="single"/>
        </w:rPr>
        <w:t xml:space="preserve">between </w:t>
      </w:r>
      <w:r>
        <w:rPr>
          <w:rFonts w:eastAsia="Calibri"/>
          <w:b/>
          <w:bCs/>
          <w:sz w:val="28"/>
          <w:szCs w:val="28"/>
          <w:u w:val="single"/>
        </w:rPr>
        <w:t xml:space="preserve">method </w:t>
      </w:r>
      <w:r>
        <w:rPr>
          <w:rFonts w:eastAsia="Calibri"/>
          <w:u w:val="single"/>
        </w:rPr>
        <w:t xml:space="preserve">and </w:t>
      </w:r>
      <w:r>
        <w:rPr>
          <w:rFonts w:eastAsia="Calibri"/>
          <w:b/>
          <w:bCs/>
          <w:sz w:val="28"/>
          <w:szCs w:val="28"/>
          <w:u w:val="single"/>
        </w:rPr>
        <w:t>object of study</w:t>
      </w:r>
      <w:r>
        <w:rPr>
          <w:rFonts w:eastAsia="Calibri"/>
          <w:u w:val="single"/>
        </w:rPr>
        <w:t xml:space="preserve">. This mismatch </w:t>
      </w:r>
      <w:r>
        <w:rPr>
          <w:rFonts w:eastAsia="Calibri"/>
          <w:highlight w:val="cyan"/>
          <w:u w:val="single"/>
        </w:rPr>
        <w:t>leads to</w:t>
      </w:r>
      <w:r>
        <w:rPr>
          <w:rFonts w:eastAsia="Calibri"/>
          <w:u w:val="single"/>
        </w:rPr>
        <w:t xml:space="preserve"> a </w:t>
      </w:r>
      <w:r>
        <w:rPr>
          <w:rFonts w:eastAsia="Calibri"/>
          <w:b/>
          <w:bCs/>
          <w:sz w:val="28"/>
          <w:szCs w:val="28"/>
          <w:highlight w:val="cyan"/>
          <w:u w:val="single"/>
        </w:rPr>
        <w:t>comic effect</w:t>
      </w:r>
      <w:r>
        <w:rPr>
          <w:rFonts w:eastAsia="Calibri"/>
          <w:u w:val="single"/>
        </w:rPr>
        <w:t xml:space="preserve">: the wonderfully strange spectacle of serious philosophers (Bostrom), scientists (Sir Martin Rees), and entrepreneurs (Elon Musk) discussing how to mitigate the risk of deep future extinction events as though they were calculating the probability that one will die in a car accident based on ample statistics about the frequency of such events in the past. </w:t>
      </w:r>
      <w:r>
        <w:rPr>
          <w:rFonts w:eastAsia="Calibri"/>
          <w:sz w:val="14"/>
          <w:szCs w:val="14"/>
        </w:rPr>
        <w:t>The effect is similar to that of Michael Madsen’s documentary Into Eternity, when we watch engineers become speculative philosophers as they ponder the one hundred thousand-year time frame of their deep geological repository for storing nuclear waste, especially when Madsen asks them what human societies might be like in such a distant future.3 What Mark McGurl calls “posthuman comedy” is here the effect of rational solutions applied to cover over the unthinkable, unimaginable, and uncontrollable otherness of any future that stretches beyond a few human generations.4</w:t>
      </w:r>
    </w:p>
    <w:p w14:paraId="5D84A618" w14:textId="77777777" w:rsidR="00884C08" w:rsidRDefault="00884C08" w:rsidP="00884C08">
      <w:pPr>
        <w:spacing w:line="240" w:lineRule="auto"/>
        <w:rPr>
          <w:rFonts w:eastAsia="Calibri"/>
          <w:sz w:val="24"/>
          <w:szCs w:val="24"/>
        </w:rPr>
      </w:pPr>
      <w:r>
        <w:rPr>
          <w:rFonts w:eastAsia="Calibri"/>
          <w:sz w:val="14"/>
          <w:szCs w:val="14"/>
        </w:rPr>
        <w:t xml:space="preserve">Existential risk veers from “comic” analyses of </w:t>
      </w:r>
      <w:r>
        <w:rPr>
          <w:rFonts w:eastAsia="Calibri"/>
          <w:b/>
          <w:bCs/>
          <w:sz w:val="28"/>
          <w:szCs w:val="28"/>
          <w:highlight w:val="cyan"/>
          <w:u w:val="single"/>
        </w:rPr>
        <w:t>extremely remote</w:t>
      </w:r>
      <w:r>
        <w:rPr>
          <w:rFonts w:eastAsia="Calibri"/>
          <w:highlight w:val="cyan"/>
          <w:u w:val="single"/>
        </w:rPr>
        <w:t xml:space="preserve"> scenarios</w:t>
      </w:r>
      <w:r>
        <w:rPr>
          <w:rFonts w:eastAsia="Calibri"/>
          <w:sz w:val="14"/>
          <w:szCs w:val="14"/>
        </w:rPr>
        <w:t xml:space="preserve">, such as the “aestivation hypothesis” (aliens are sleeping so as to wait billions of years for the universe to cool down enough to run cosmic-size computers), to </w:t>
      </w:r>
      <w:r>
        <w:rPr>
          <w:rFonts w:eastAsia="Calibri"/>
          <w:u w:val="single"/>
        </w:rPr>
        <w:t>“tragic” assessments of the high near-term likelihood of some massive extinction-inducing event that would be predictable but not avoidable</w:t>
      </w:r>
      <w:r>
        <w:rPr>
          <w:rFonts w:eastAsia="Calibri"/>
          <w:sz w:val="14"/>
          <w:szCs w:val="14"/>
        </w:rPr>
        <w:t xml:space="preserve">.5 </w:t>
      </w:r>
      <w:r>
        <w:rPr>
          <w:rFonts w:eastAsia="Calibri"/>
          <w:u w:val="single"/>
        </w:rPr>
        <w:t>If we were to start calculating the probability that a climate tipping point or AI will bring an end to our evolutionary line, then not only would we be unable to arrive at a reliable estimate that bears any analogy with</w:t>
      </w:r>
      <w:r>
        <w:rPr>
          <w:rFonts w:eastAsia="Calibri"/>
          <w:sz w:val="14"/>
          <w:szCs w:val="14"/>
        </w:rPr>
        <w:t xml:space="preserve">, for example, </w:t>
      </w:r>
      <w:r>
        <w:rPr>
          <w:rFonts w:eastAsia="Calibri"/>
          <w:u w:val="single"/>
        </w:rPr>
        <w:t xml:space="preserve">finance or insurance risk analysis, we wouldn’t even know if the event is possible in the first place. </w:t>
      </w:r>
      <w:r>
        <w:rPr>
          <w:rFonts w:eastAsia="Calibri"/>
          <w:highlight w:val="cyan"/>
          <w:u w:val="single"/>
        </w:rPr>
        <w:t>We</w:t>
      </w:r>
      <w:r>
        <w:rPr>
          <w:rFonts w:eastAsia="Calibri"/>
          <w:u w:val="single"/>
        </w:rPr>
        <w:t xml:space="preserve"> would be trying to </w:t>
      </w:r>
      <w:r>
        <w:rPr>
          <w:rFonts w:eastAsia="Calibri"/>
          <w:highlight w:val="cyan"/>
          <w:u w:val="single"/>
        </w:rPr>
        <w:t>estimate</w:t>
      </w:r>
      <w:r>
        <w:rPr>
          <w:rFonts w:eastAsia="Calibri"/>
          <w:u w:val="single"/>
        </w:rPr>
        <w:t xml:space="preserve"> the </w:t>
      </w:r>
      <w:r>
        <w:rPr>
          <w:rFonts w:eastAsia="Calibri"/>
          <w:highlight w:val="cyan"/>
          <w:u w:val="single"/>
        </w:rPr>
        <w:t xml:space="preserve">probability of something that can only happen once, </w:t>
      </w:r>
      <w:r>
        <w:rPr>
          <w:rFonts w:eastAsia="Calibri"/>
          <w:b/>
          <w:bCs/>
          <w:sz w:val="28"/>
          <w:szCs w:val="28"/>
          <w:highlight w:val="cyan"/>
          <w:u w:val="single"/>
        </w:rPr>
        <w:t>without any evidence</w:t>
      </w:r>
      <w:r>
        <w:rPr>
          <w:rFonts w:eastAsia="Calibri"/>
          <w:u w:val="single"/>
        </w:rPr>
        <w:t xml:space="preserve"> to go on.</w:t>
      </w:r>
      <w:r>
        <w:rPr>
          <w:rFonts w:eastAsia="Calibri"/>
          <w:sz w:val="14"/>
          <w:szCs w:val="14"/>
        </w:rPr>
        <w:t xml:space="preserve"> Not only that, </w:t>
      </w:r>
      <w:r>
        <w:rPr>
          <w:rFonts w:eastAsia="Calibri"/>
          <w:u w:val="single"/>
        </w:rPr>
        <w:t>we would be trying to use this knowledge to act in a way that will prevent it from happening.</w:t>
      </w:r>
      <w:r>
        <w:rPr>
          <w:rFonts w:eastAsia="Calibri"/>
          <w:sz w:val="14"/>
          <w:szCs w:val="14"/>
        </w:rPr>
        <w:t xml:space="preserve"> Or at least, because existential risk analysis operates within a fundamentally probabilistic universe, the aim is to lower the fatal event’s probability: the closer to zero, the more immune humanity’s potential will have been.</w:t>
      </w:r>
    </w:p>
    <w:p w14:paraId="44E4C3C8" w14:textId="77777777" w:rsidR="00884C08" w:rsidRDefault="00884C08" w:rsidP="00884C08">
      <w:pPr>
        <w:spacing w:line="240" w:lineRule="auto"/>
        <w:rPr>
          <w:rFonts w:eastAsia="Calibri"/>
          <w:sz w:val="24"/>
          <w:szCs w:val="24"/>
        </w:rPr>
      </w:pPr>
      <w:r>
        <w:rPr>
          <w:rFonts w:eastAsia="Calibri"/>
          <w:sz w:val="14"/>
          <w:szCs w:val="14"/>
        </w:rPr>
        <w:t xml:space="preserve">For some, this might already be enough to dismiss the idea of rational study of remote existential risk scenarios. As one AI researcher reports, “I don’t worry about [AI induced extinction] for the same reason I don’t worry about overpopulation on Mars.”6 There is a common-sense idea that </w:t>
      </w:r>
      <w:r>
        <w:rPr>
          <w:rFonts w:eastAsia="Calibri"/>
          <w:u w:val="single"/>
        </w:rPr>
        <w:t>we should not spend too much time or too many resources to prevent something when we don’t know if it’s possible</w:t>
      </w:r>
      <w:r>
        <w:rPr>
          <w:rFonts w:eastAsia="Calibri"/>
          <w:sz w:val="14"/>
          <w:szCs w:val="14"/>
        </w:rPr>
        <w:t xml:space="preserve"> (though Bostrom and others would remind us that common sense is what prevents us from seeing the implications of probability theory clearly enough to act). As our characterization of existential risk’s model of probability and utilitarianism </w:t>
      </w:r>
      <w:r>
        <w:rPr>
          <w:rFonts w:eastAsia="Calibri"/>
          <w:sz w:val="16"/>
          <w:szCs w:val="16"/>
        </w:rPr>
        <w:t>suggests,</w:t>
      </w:r>
      <w:r>
        <w:rPr>
          <w:rFonts w:eastAsia="Calibri"/>
          <w:u w:val="single"/>
        </w:rPr>
        <w:t xml:space="preserve"> we </w:t>
      </w:r>
      <w:r>
        <w:rPr>
          <w:rFonts w:eastAsia="Calibri"/>
          <w:highlight w:val="cyan"/>
          <w:u w:val="single"/>
        </w:rPr>
        <w:t xml:space="preserve">lean toward </w:t>
      </w:r>
      <w:r>
        <w:rPr>
          <w:rFonts w:eastAsia="Calibri"/>
          <w:b/>
          <w:bCs/>
          <w:sz w:val="28"/>
          <w:szCs w:val="28"/>
          <w:highlight w:val="cyan"/>
          <w:u w:val="single"/>
        </w:rPr>
        <w:t>skepticism</w:t>
      </w:r>
      <w:r>
        <w:rPr>
          <w:rFonts w:eastAsia="Calibri"/>
          <w:u w:val="single"/>
        </w:rPr>
        <w:t xml:space="preserve"> about the field’s claim to rationality and scientific rigor.</w:t>
      </w:r>
      <w:r>
        <w:rPr>
          <w:rFonts w:eastAsia="Calibri"/>
          <w:sz w:val="14"/>
          <w:szCs w:val="14"/>
        </w:rPr>
        <w:t xml:space="preserve"> For readers steeped in critical theory, such a quantitative approach to politics, ethics, and extinction </w:t>
      </w:r>
      <w:r>
        <w:rPr>
          <w:rFonts w:eastAsia="Calibri"/>
          <w:sz w:val="14"/>
          <w:szCs w:val="14"/>
        </w:rPr>
        <w:lastRenderedPageBreak/>
        <w:t>may look to be another chapter of the dialectic of Enlightenment, bound to end badly. But the epistemological assumptions of existential risk should attract greater attention and critique—not dismissal as another overreach of rationalism, but analysis and historicization.</w:t>
      </w:r>
    </w:p>
    <w:p w14:paraId="1737A587" w14:textId="77777777" w:rsidR="00884C08" w:rsidRDefault="00884C08" w:rsidP="00884C08">
      <w:pPr>
        <w:spacing w:line="240" w:lineRule="auto"/>
        <w:rPr>
          <w:rFonts w:eastAsia="Calibri"/>
          <w:sz w:val="24"/>
          <w:szCs w:val="24"/>
        </w:rPr>
      </w:pPr>
      <w:r>
        <w:rPr>
          <w:rFonts w:eastAsia="Calibri"/>
          <w:sz w:val="14"/>
          <w:szCs w:val="14"/>
        </w:rPr>
        <w:t>The Rhetoric of Probability</w:t>
      </w:r>
    </w:p>
    <w:p w14:paraId="4CD5E5AA" w14:textId="77777777" w:rsidR="00884C08" w:rsidRDefault="00884C08" w:rsidP="00884C08">
      <w:pPr>
        <w:spacing w:line="240" w:lineRule="auto"/>
        <w:rPr>
          <w:rFonts w:eastAsia="Calibri"/>
          <w:sz w:val="24"/>
          <w:szCs w:val="24"/>
        </w:rPr>
      </w:pPr>
      <w:r>
        <w:rPr>
          <w:rFonts w:eastAsia="Calibri"/>
          <w:sz w:val="14"/>
          <w:szCs w:val="14"/>
        </w:rPr>
        <w:t>Writing for Vox, journalist Dylan Matthews covered the Effective Altruism Global Conference at the Google campus in Mountain View, California, in the summer of 2015. The title of his article—“I Spent a Weekend at Google Talking to Nerds about Charity. I Came Away . . . Worried”—divulges his take on the ideas and affects that circulated at the meeting.7 “Effective altruism” is the philanthropic practice of attempting to do the greatest good through means that are efficient and data-driven rather than sentimental. Many in the existential risk community also subscribe to the effective altruism movement, such as philosopher Toby Ord, founder of the society Giving What We Can (a group admirably committed to donating at least 10 percent of income). In Oxford, Bostrom’s Future of Humanity Institute shares office space with the Centre for Effective Altruism. Effective altruists see themselves embracing “the cold, hard data necessary to prove what actually does good.”8 This makes the movement a candidate for study from the perspective of science and technology studies, as an ethical philosophy that claims for itself scientific imprimatur. Matthews says that he identifies as an effective altruist; he also admits that “EA is very white, very male, and dominated by tech industry workers.”9 The topic of existential risk occupied center stage at the conference in 2015, and it gave him pause even as someone who embraces quantitative ethics.</w:t>
      </w:r>
    </w:p>
    <w:p w14:paraId="44D87862" w14:textId="77777777" w:rsidR="00884C08" w:rsidRDefault="00884C08" w:rsidP="00884C08">
      <w:pPr>
        <w:spacing w:line="240" w:lineRule="auto"/>
        <w:rPr>
          <w:rFonts w:eastAsia="Calibri"/>
          <w:sz w:val="24"/>
          <w:szCs w:val="24"/>
        </w:rPr>
      </w:pPr>
      <w:r>
        <w:rPr>
          <w:rFonts w:eastAsia="Calibri"/>
          <w:sz w:val="14"/>
          <w:szCs w:val="14"/>
        </w:rPr>
        <w:t xml:space="preserve">Matthews’s skeptical account of this </w:t>
      </w:r>
      <w:r>
        <w:rPr>
          <w:rFonts w:eastAsia="Calibri"/>
          <w:b/>
          <w:bCs/>
          <w:sz w:val="28"/>
          <w:szCs w:val="28"/>
          <w:highlight w:val="cyan"/>
          <w:u w:val="single"/>
        </w:rPr>
        <w:t>“X-risk”</w:t>
      </w:r>
      <w:r>
        <w:rPr>
          <w:rFonts w:eastAsia="Calibri"/>
          <w:u w:val="single"/>
        </w:rPr>
        <w:t xml:space="preserve"> takeover</w:t>
      </w:r>
      <w:r>
        <w:rPr>
          <w:rFonts w:eastAsia="Calibri"/>
          <w:sz w:val="14"/>
          <w:szCs w:val="14"/>
        </w:rPr>
        <w:t xml:space="preserve"> is a good example of how existential risk </w:t>
      </w:r>
      <w:r>
        <w:rPr>
          <w:rFonts w:eastAsia="Calibri"/>
          <w:highlight w:val="cyan"/>
          <w:u w:val="single"/>
        </w:rPr>
        <w:t xml:space="preserve">combines </w:t>
      </w:r>
      <w:r>
        <w:rPr>
          <w:rFonts w:eastAsia="Calibri"/>
          <w:b/>
          <w:bCs/>
          <w:sz w:val="28"/>
          <w:szCs w:val="28"/>
          <w:highlight w:val="cyan"/>
          <w:u w:val="single"/>
        </w:rPr>
        <w:t>fantastical</w:t>
      </w:r>
      <w:r>
        <w:rPr>
          <w:rFonts w:eastAsia="Calibri"/>
          <w:u w:val="single"/>
        </w:rPr>
        <w:t xml:space="preserve">, deep-time </w:t>
      </w:r>
      <w:r>
        <w:rPr>
          <w:rFonts w:eastAsia="Calibri"/>
          <w:highlight w:val="cyan"/>
          <w:u w:val="single"/>
        </w:rPr>
        <w:t>probability</w:t>
      </w:r>
      <w:r>
        <w:rPr>
          <w:rFonts w:eastAsia="Calibri"/>
          <w:u w:val="single"/>
        </w:rPr>
        <w:t xml:space="preserve"> calculations </w:t>
      </w:r>
      <w:r>
        <w:rPr>
          <w:rFonts w:eastAsia="Calibri"/>
          <w:highlight w:val="cyan"/>
          <w:u w:val="single"/>
        </w:rPr>
        <w:t xml:space="preserve">with </w:t>
      </w:r>
      <w:r>
        <w:rPr>
          <w:rFonts w:eastAsia="Calibri"/>
          <w:b/>
          <w:bCs/>
          <w:sz w:val="28"/>
          <w:szCs w:val="28"/>
          <w:highlight w:val="cyan"/>
          <w:u w:val="single"/>
        </w:rPr>
        <w:t>util</w:t>
      </w:r>
      <w:r>
        <w:rPr>
          <w:rFonts w:eastAsia="Calibri"/>
          <w:sz w:val="16"/>
          <w:szCs w:val="16"/>
        </w:rPr>
        <w:t>itarian</w:t>
      </w:r>
      <w:r>
        <w:rPr>
          <w:rFonts w:eastAsia="Calibri"/>
        </w:rPr>
        <w:t xml:space="preserve"> </w:t>
      </w:r>
      <w:r>
        <w:rPr>
          <w:rFonts w:eastAsia="Calibri"/>
          <w:u w:val="single"/>
        </w:rPr>
        <w:t>ethics</w:t>
      </w:r>
      <w:r>
        <w:rPr>
          <w:rFonts w:eastAsia="Calibri"/>
          <w:sz w:val="14"/>
          <w:szCs w:val="14"/>
        </w:rPr>
        <w:t xml:space="preserve">. In the example he cites, </w:t>
      </w:r>
      <w:r>
        <w:rPr>
          <w:rFonts w:eastAsia="Calibri"/>
          <w:u w:val="single"/>
        </w:rPr>
        <w:t>a panel featuring Bostrom and Musk, the starting point for determining the greatest good for the greatest number of persons was to calculate the greatest number of lives.</w:t>
      </w:r>
      <w:r>
        <w:rPr>
          <w:rFonts w:eastAsia="Calibri"/>
          <w:sz w:val="14"/>
          <w:szCs w:val="14"/>
        </w:rPr>
        <w:t xml:space="preserve"> The presenters did so not with respect to a narrow time frame, as in the greatest number alive on Earth today or during a 100-year period. Instead, </w:t>
      </w:r>
      <w:r>
        <w:rPr>
          <w:rFonts w:eastAsia="Calibri"/>
          <w:u w:val="single"/>
        </w:rPr>
        <w:t>they reasoned that if humanity lasts “another 50 million years,” then “the total number of humans who will ever live is . . . 3 quadrillion.”</w:t>
      </w:r>
      <w:r>
        <w:rPr>
          <w:rFonts w:eastAsia="Calibri"/>
          <w:sz w:val="14"/>
          <w:szCs w:val="14"/>
        </w:rPr>
        <w:t xml:space="preserve">10 </w:t>
      </w:r>
      <w:r>
        <w:rPr>
          <w:rFonts w:eastAsia="Calibri"/>
          <w:u w:val="single"/>
        </w:rPr>
        <w:t>But they went on to decide that this number fails to take into account future extraterrestrial inhabitants of the solar system, “the potential value of our posthuman future,”</w:t>
      </w:r>
      <w:r>
        <w:rPr>
          <w:rFonts w:eastAsia="Calibri"/>
          <w:sz w:val="14"/>
          <w:szCs w:val="14"/>
        </w:rPr>
        <w:t xml:space="preserve"> or what Phil Torres calls the “astronomical value thesis.”11 Given the same arbitrary time scale of 50 million years, they concluded that the number of people we need to take into account is more like 1052 lives of 100 years each—</w:t>
      </w:r>
      <w:r>
        <w:rPr>
          <w:rFonts w:eastAsia="Calibri"/>
          <w:u w:val="single"/>
        </w:rPr>
        <w:t>a vastly greater number than 3 quadrillion, so much greater that the mathematical notation for exponents seems more accessible than obscure words like sexdecillion.</w:t>
      </w:r>
    </w:p>
    <w:p w14:paraId="3F8F2856" w14:textId="77777777" w:rsidR="00884C08" w:rsidRDefault="00884C08" w:rsidP="00884C08">
      <w:pPr>
        <w:spacing w:line="240" w:lineRule="auto"/>
        <w:rPr>
          <w:rFonts w:eastAsia="Calibri"/>
          <w:sz w:val="24"/>
          <w:szCs w:val="24"/>
        </w:rPr>
      </w:pPr>
      <w:r>
        <w:rPr>
          <w:rFonts w:eastAsia="Calibri"/>
          <w:sz w:val="14"/>
          <w:szCs w:val="14"/>
        </w:rPr>
        <w:t xml:space="preserve">Bostrom then shifts from such uncountable numbers to discussing the ethical implications for us today: </w:t>
      </w:r>
      <w:r>
        <w:rPr>
          <w:rFonts w:eastAsia="Calibri"/>
          <w:u w:val="single"/>
        </w:rPr>
        <w:t xml:space="preserve">“Even if we give this 1054 estimate ‘a mere </w:t>
      </w:r>
      <w:r>
        <w:rPr>
          <w:rFonts w:eastAsia="Calibri"/>
          <w:b/>
          <w:bCs/>
          <w:sz w:val="28"/>
          <w:szCs w:val="28"/>
          <w:highlight w:val="cyan"/>
          <w:u w:val="single"/>
        </w:rPr>
        <w:t>1% chance</w:t>
      </w:r>
      <w:r>
        <w:rPr>
          <w:rFonts w:eastAsia="Calibri"/>
          <w:u w:val="single"/>
        </w:rPr>
        <w:t xml:space="preserve"> of being correct,’ . . . we find that the expected value of reducing existential risk by a mere one billionth of one billionth of one percentage point is worth a hundred billion times as much as a billion human lives.”</w:t>
      </w:r>
      <w:r>
        <w:rPr>
          <w:rFonts w:eastAsia="Calibri"/>
          <w:sz w:val="14"/>
          <w:szCs w:val="14"/>
        </w:rPr>
        <w:t>12 As Matthews continues to paraphrase, </w:t>
      </w:r>
    </w:p>
    <w:p w14:paraId="720B31D2" w14:textId="77777777" w:rsidR="00884C08" w:rsidRDefault="00884C08" w:rsidP="00884C08">
      <w:pPr>
        <w:spacing w:line="240" w:lineRule="auto"/>
        <w:ind w:left="720"/>
        <w:rPr>
          <w:rFonts w:eastAsia="Calibri"/>
          <w:sz w:val="24"/>
          <w:szCs w:val="24"/>
        </w:rPr>
      </w:pPr>
      <w:r>
        <w:rPr>
          <w:rFonts w:eastAsia="Calibri"/>
          <w:sz w:val="14"/>
          <w:szCs w:val="14"/>
        </w:rPr>
        <w:t xml:space="preserve">the number of future humans who will never exist if humans go extinct is so great that </w:t>
      </w:r>
      <w:r>
        <w:rPr>
          <w:rFonts w:eastAsia="Calibri"/>
          <w:u w:val="single"/>
        </w:rPr>
        <w:t>reducing the risk of extinction by 0.00000000000000001 percent can be expected to save 100 billion more lives than, say, preventing the genocide of 1 billion people</w:t>
      </w:r>
      <w:r>
        <w:rPr>
          <w:rFonts w:eastAsia="Calibri"/>
        </w:rPr>
        <w:t xml:space="preserve">. </w:t>
      </w:r>
      <w:r>
        <w:rPr>
          <w:rFonts w:eastAsia="Calibri"/>
          <w:sz w:val="16"/>
          <w:szCs w:val="16"/>
        </w:rPr>
        <w:t>That argues</w:t>
      </w:r>
      <w:r>
        <w:rPr>
          <w:rFonts w:eastAsia="Calibri"/>
          <w:sz w:val="14"/>
          <w:szCs w:val="14"/>
        </w:rPr>
        <w:t>, in the judgment of Bostrom and others, for prioritizing efforts to prevent human extinction above other endeavors. This is what X-risk obsessives mean when they claim ending world poverty would be a “rounding error.”13</w:t>
      </w:r>
    </w:p>
    <w:p w14:paraId="3283498A" w14:textId="77777777" w:rsidR="00884C08" w:rsidRDefault="00884C08" w:rsidP="00884C08">
      <w:pPr>
        <w:spacing w:line="240" w:lineRule="auto"/>
        <w:rPr>
          <w:rFonts w:eastAsia="Calibri"/>
          <w:sz w:val="24"/>
          <w:szCs w:val="24"/>
        </w:rPr>
      </w:pPr>
      <w:r>
        <w:rPr>
          <w:rFonts w:eastAsia="Calibri"/>
          <w:sz w:val="14"/>
          <w:szCs w:val="14"/>
        </w:rPr>
        <w:t>Since we read this article, we have mentioned Matthews’s rather satirical report to a number of friends and colleagues. Their</w:t>
      </w:r>
      <w:r>
        <w:rPr>
          <w:rFonts w:eastAsia="Calibri"/>
          <w:u w:val="single"/>
        </w:rPr>
        <w:t xml:space="preserve"> reaction </w:t>
      </w:r>
      <w:r>
        <w:rPr>
          <w:rFonts w:eastAsia="Calibri"/>
          <w:highlight w:val="cyan"/>
          <w:u w:val="single"/>
        </w:rPr>
        <w:t>is</w:t>
      </w:r>
      <w:r>
        <w:rPr>
          <w:rFonts w:eastAsia="Calibri"/>
          <w:u w:val="single"/>
        </w:rPr>
        <w:t xml:space="preserve"> always amusement at the </w:t>
      </w:r>
      <w:r>
        <w:rPr>
          <w:rFonts w:eastAsia="Calibri"/>
          <w:b/>
          <w:bCs/>
          <w:sz w:val="28"/>
          <w:szCs w:val="28"/>
          <w:highlight w:val="cyan"/>
          <w:u w:val="single"/>
        </w:rPr>
        <w:t>comical absurdity</w:t>
      </w:r>
      <w:r>
        <w:rPr>
          <w:rFonts w:eastAsia="Calibri"/>
          <w:u w:val="single"/>
        </w:rPr>
        <w:t xml:space="preserve"> of this scenario.</w:t>
      </w:r>
      <w:r>
        <w:rPr>
          <w:rFonts w:eastAsia="Calibri"/>
          <w:sz w:val="14"/>
          <w:szCs w:val="14"/>
        </w:rPr>
        <w:t xml:space="preserve"> They are right, in a sense, but in this case the reductio ad absurdum of deep-time utilitarianism is strange because it is also perfectly rational, if “rational” means consistent with the concepts thinkers like Bostrom have applied. Notwithstanding their highly speculative assumptions about the time scale of fifty million years and interplanetary travel, the numbers reported by Matthews are faithfully deduced by combining probability theory with the first principle of the mathematical ethics of utilitarianism, even if </w:t>
      </w:r>
      <w:r>
        <w:rPr>
          <w:rFonts w:eastAsia="Calibri"/>
          <w:u w:val="single"/>
        </w:rPr>
        <w:t>the greatest “good” is reduced to mere existence for the greatest number.</w:t>
      </w:r>
      <w:r>
        <w:rPr>
          <w:rFonts w:eastAsia="Calibri"/>
          <w:sz w:val="14"/>
          <w:szCs w:val="14"/>
        </w:rPr>
        <w:t xml:space="preserve"> This is the “effective” side of effective altruism, now stretched to an unimaginable future.</w:t>
      </w:r>
    </w:p>
    <w:p w14:paraId="71A8FD89" w14:textId="77777777" w:rsidR="00884C08" w:rsidRDefault="00884C08" w:rsidP="00884C08">
      <w:pPr>
        <w:spacing w:line="240" w:lineRule="auto"/>
        <w:rPr>
          <w:rFonts w:eastAsia="Calibri"/>
          <w:sz w:val="24"/>
          <w:szCs w:val="24"/>
        </w:rPr>
      </w:pPr>
      <w:r>
        <w:rPr>
          <w:rFonts w:eastAsia="Calibri"/>
          <w:sz w:val="14"/>
          <w:szCs w:val="14"/>
        </w:rPr>
        <w:t>In another example, Bostrom offers a box essay in Superintelligence about the human lives and happiness that are really at stake when it comes to the risk of malevolent AI. Different from Matthews’s example, he adds a quantification of happiness that goes beyond the negative value of avoiding the foreclosure of countless future lives:</w:t>
      </w:r>
    </w:p>
    <w:p w14:paraId="7B1358C4" w14:textId="77777777" w:rsidR="00884C08" w:rsidRDefault="00884C08" w:rsidP="00884C08">
      <w:pPr>
        <w:spacing w:line="240" w:lineRule="auto"/>
        <w:ind w:left="720"/>
        <w:rPr>
          <w:rFonts w:eastAsia="Calibri"/>
          <w:sz w:val="24"/>
          <w:szCs w:val="24"/>
        </w:rPr>
      </w:pPr>
      <w:r>
        <w:rPr>
          <w:rFonts w:eastAsia="Calibri"/>
          <w:sz w:val="14"/>
          <w:szCs w:val="14"/>
        </w:rPr>
        <w:t>Assuming that the observable universe is void of extraterrestrial civilizations, then what hangs in the balance is at least 10,000,000,00 0,000,000,000,000,000,000,000,000,000,000,000,000,000,000,000 ,000 human lives. . . . If we represent all the happiness experienced during one entire such life with a single teardrop of joy, then the happiness of these souls could fill and refill the Earth’s oceans every second, and keep doing so for a hundred billion billion millennia. It is really important that we make sure these truly are tears of joy.14</w:t>
      </w:r>
    </w:p>
    <w:p w14:paraId="30415BE7" w14:textId="77777777" w:rsidR="00884C08" w:rsidRDefault="00884C08" w:rsidP="00884C08">
      <w:pPr>
        <w:spacing w:line="240" w:lineRule="auto"/>
        <w:rPr>
          <w:rFonts w:eastAsia="Calibri"/>
          <w:sz w:val="24"/>
          <w:szCs w:val="24"/>
        </w:rPr>
      </w:pPr>
      <w:r>
        <w:rPr>
          <w:rFonts w:eastAsia="Calibri"/>
          <w:u w:val="single"/>
        </w:rPr>
        <w:t xml:space="preserve">This </w:t>
      </w:r>
      <w:r>
        <w:rPr>
          <w:rFonts w:eastAsia="Calibri"/>
          <w:highlight w:val="cyan"/>
          <w:u w:val="single"/>
        </w:rPr>
        <w:t>implied</w:t>
      </w:r>
      <w:r>
        <w:rPr>
          <w:rFonts w:eastAsia="Calibri"/>
          <w:u w:val="single"/>
        </w:rPr>
        <w:t xml:space="preserve"> utilitarian </w:t>
      </w:r>
      <w:r>
        <w:rPr>
          <w:rFonts w:eastAsia="Calibri"/>
          <w:highlight w:val="cyan"/>
          <w:u w:val="single"/>
        </w:rPr>
        <w:t xml:space="preserve">calculus </w:t>
      </w:r>
      <w:r>
        <w:rPr>
          <w:rFonts w:eastAsia="Calibri"/>
          <w:b/>
          <w:bCs/>
          <w:sz w:val="28"/>
          <w:szCs w:val="28"/>
          <w:highlight w:val="cyan"/>
          <w:u w:val="single"/>
        </w:rPr>
        <w:t>stretches the limits</w:t>
      </w:r>
      <w:r>
        <w:rPr>
          <w:rFonts w:eastAsia="Calibri"/>
          <w:u w:val="single"/>
        </w:rPr>
        <w:t xml:space="preserve">, to put it mildly, </w:t>
      </w:r>
      <w:r>
        <w:rPr>
          <w:rFonts w:eastAsia="Calibri"/>
          <w:highlight w:val="cyan"/>
          <w:u w:val="single"/>
        </w:rPr>
        <w:t>of</w:t>
      </w:r>
      <w:r>
        <w:rPr>
          <w:rFonts w:eastAsia="Calibri"/>
          <w:u w:val="single"/>
        </w:rPr>
        <w:t xml:space="preserve"> any known means of </w:t>
      </w:r>
      <w:r>
        <w:rPr>
          <w:rFonts w:eastAsia="Calibri"/>
          <w:highlight w:val="cyan"/>
          <w:u w:val="single"/>
        </w:rPr>
        <w:t>deciding</w:t>
      </w:r>
      <w:r>
        <w:rPr>
          <w:rFonts w:eastAsia="Calibri"/>
          <w:u w:val="single"/>
        </w:rPr>
        <w:t xml:space="preserve"> how we should act, what is </w:t>
      </w:r>
      <w:r>
        <w:rPr>
          <w:rFonts w:eastAsia="Calibri"/>
          <w:highlight w:val="cyan"/>
          <w:u w:val="single"/>
        </w:rPr>
        <w:t>right and wrong</w:t>
      </w:r>
      <w:r>
        <w:rPr>
          <w:rFonts w:eastAsia="Calibri"/>
          <w:u w:val="single"/>
        </w:rPr>
        <w:t xml:space="preserve">, and how to calculate the odds of a given extinction. </w:t>
      </w:r>
      <w:r>
        <w:rPr>
          <w:rFonts w:eastAsia="Calibri"/>
          <w:sz w:val="14"/>
          <w:szCs w:val="14"/>
        </w:rPr>
        <w:t xml:space="preserve">Yet they remain calculations. They have a certain rationality despite the absurd ambition. They also provide the foundations for a normative prescription for action, even if it reads slightly tongue-in-cheek given the image of an ocean filled with tears of joy. The aspiration here is to make an ethics of extinction avoidance rational by grounding it in the relation between probability of a given risk and the idea that doing the right thing means dividing the total amount of total happiness, now and in the future, by the total number of humans. </w:t>
      </w:r>
      <w:r>
        <w:rPr>
          <w:rFonts w:eastAsia="Calibri"/>
          <w:u w:val="single"/>
        </w:rPr>
        <w:t xml:space="preserve">Working with such </w:t>
      </w:r>
      <w:r>
        <w:rPr>
          <w:rFonts w:eastAsia="Calibri"/>
          <w:b/>
          <w:bCs/>
          <w:sz w:val="28"/>
          <w:szCs w:val="28"/>
          <w:highlight w:val="cyan"/>
          <w:u w:val="single"/>
        </w:rPr>
        <w:t>vast numbers</w:t>
      </w:r>
      <w:r>
        <w:rPr>
          <w:rFonts w:eastAsia="Calibri"/>
          <w:u w:val="single"/>
        </w:rPr>
        <w:t xml:space="preserve"> is what </w:t>
      </w:r>
      <w:r>
        <w:rPr>
          <w:rFonts w:eastAsia="Calibri"/>
          <w:highlight w:val="cyan"/>
          <w:u w:val="single"/>
        </w:rPr>
        <w:t>gives</w:t>
      </w:r>
      <w:r>
        <w:rPr>
          <w:rFonts w:eastAsia="Calibri"/>
          <w:u w:val="single"/>
        </w:rPr>
        <w:t xml:space="preserve"> the </w:t>
      </w:r>
      <w:r>
        <w:rPr>
          <w:rFonts w:eastAsia="Calibri"/>
          <w:highlight w:val="cyan"/>
          <w:u w:val="single"/>
        </w:rPr>
        <w:t>idea</w:t>
      </w:r>
      <w:r>
        <w:rPr>
          <w:rFonts w:eastAsia="Calibri"/>
          <w:u w:val="single"/>
        </w:rPr>
        <w:t xml:space="preserve"> that even </w:t>
      </w:r>
      <w:r>
        <w:rPr>
          <w:rFonts w:eastAsia="Calibri"/>
          <w:b/>
          <w:bCs/>
          <w:sz w:val="28"/>
          <w:szCs w:val="28"/>
          <w:highlight w:val="cyan"/>
          <w:u w:val="single"/>
        </w:rPr>
        <w:t>slightly</w:t>
      </w:r>
      <w:r>
        <w:rPr>
          <w:rFonts w:eastAsia="Calibri"/>
          <w:highlight w:val="cyan"/>
          <w:u w:val="single"/>
        </w:rPr>
        <w:t xml:space="preserve"> lowering</w:t>
      </w:r>
      <w:r>
        <w:rPr>
          <w:rFonts w:eastAsia="Calibri"/>
          <w:u w:val="single"/>
        </w:rPr>
        <w:t xml:space="preserve"> the probability of an </w:t>
      </w:r>
      <w:r>
        <w:rPr>
          <w:rFonts w:eastAsia="Calibri"/>
          <w:highlight w:val="cyan"/>
          <w:u w:val="single"/>
        </w:rPr>
        <w:t>extinction</w:t>
      </w:r>
      <w:r>
        <w:rPr>
          <w:rFonts w:eastAsia="Calibri"/>
          <w:u w:val="single"/>
        </w:rPr>
        <w:t xml:space="preserve"> event is </w:t>
      </w:r>
      <w:r>
        <w:rPr>
          <w:rFonts w:eastAsia="Calibri"/>
          <w:highlight w:val="cyan"/>
          <w:u w:val="single"/>
        </w:rPr>
        <w:t>worth “</w:t>
      </w:r>
      <w:r>
        <w:rPr>
          <w:rFonts w:eastAsia="Calibri"/>
          <w:b/>
          <w:bCs/>
          <w:sz w:val="28"/>
          <w:szCs w:val="28"/>
          <w:highlight w:val="cyan"/>
          <w:u w:val="single"/>
        </w:rPr>
        <w:t>astronomically</w:t>
      </w:r>
      <w:r>
        <w:rPr>
          <w:rFonts w:eastAsia="Calibri"/>
          <w:highlight w:val="cyan"/>
          <w:u w:val="single"/>
        </w:rPr>
        <w:t>” more than any justice</w:t>
      </w:r>
      <w:r>
        <w:rPr>
          <w:rFonts w:eastAsia="Calibri"/>
          <w:u w:val="single"/>
        </w:rPr>
        <w:t xml:space="preserve"> achieved in the present.</w:t>
      </w:r>
    </w:p>
    <w:p w14:paraId="566F7AC4" w14:textId="77777777" w:rsidR="00884C08" w:rsidRDefault="00884C08" w:rsidP="00884C08">
      <w:pPr>
        <w:spacing w:line="240" w:lineRule="auto"/>
        <w:rPr>
          <w:rFonts w:eastAsia="Calibri"/>
          <w:sz w:val="24"/>
          <w:szCs w:val="24"/>
        </w:rPr>
      </w:pPr>
      <w:r>
        <w:rPr>
          <w:rFonts w:eastAsia="Calibri"/>
          <w:sz w:val="14"/>
          <w:szCs w:val="14"/>
        </w:rPr>
        <w:t>Another example of Bostrom’s use of probability appears in the first chapter of Superintelligence, where he posits that AI will reach human-level intelligence during our century. In this case, the evidence with which to calculate such probabilities comes secondhand from surveys of AI experts recalibrated by Bostrom. Rather than probabilities calculated on the basis of known conditions such as the two sides of a coin or all the data about car accidents used by insurance companies, we have researchers guessing at probabilities, other researchers averaging them out, and Bostrom reporting the results. So he is right to admit that</w:t>
      </w:r>
    </w:p>
    <w:p w14:paraId="0DC5A6D8" w14:textId="77777777" w:rsidR="00884C08" w:rsidRDefault="00884C08" w:rsidP="00884C08">
      <w:pPr>
        <w:spacing w:line="240" w:lineRule="auto"/>
        <w:ind w:left="720"/>
        <w:rPr>
          <w:rFonts w:eastAsia="Calibri"/>
          <w:sz w:val="24"/>
          <w:szCs w:val="24"/>
        </w:rPr>
      </w:pPr>
      <w:r>
        <w:rPr>
          <w:rFonts w:eastAsia="Calibri"/>
          <w:sz w:val="14"/>
          <w:szCs w:val="14"/>
        </w:rPr>
        <w:lastRenderedPageBreak/>
        <w:t>small sample sizes, selection biases, and—above all—the inherent unreliability of the subjective opinions elicited mean that one should not read too much into these expert surveys and interviews. They do not let us draw any strong conclusion. But they do hint at a weak conclusion. They suggest that (at least in lieu of better data or analysis) it may be reasonable to believe that human-level machine intelligence has a fairly sizeable chance of being developed by mid-century, and that it has a non-trivial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w:t>
      </w:r>
    </w:p>
    <w:p w14:paraId="729E66AF" w14:textId="77777777" w:rsidR="00884C08" w:rsidRDefault="00884C08" w:rsidP="00884C08">
      <w:pPr>
        <w:spacing w:line="240" w:lineRule="auto"/>
        <w:rPr>
          <w:rFonts w:eastAsia="Calibri"/>
          <w:sz w:val="24"/>
          <w:szCs w:val="24"/>
        </w:rPr>
      </w:pPr>
      <w:r>
        <w:rPr>
          <w:rFonts w:eastAsia="Calibri"/>
          <w:sz w:val="14"/>
          <w:szCs w:val="14"/>
        </w:rPr>
        <w:t>Bostrom rhetorically hedges several layers of uncertainty, writing not just that we should take the numbers with a grain of salt, but that a “weak conclusion” “suggests” that it “may be reasonable” to believe in a “fairly sizeable” chance of the development of human level AI, “which might perhaps fairly soon” become superintelligent, which could then mean a “significant chance” of human extinction alongside the more neutral and optimistic possibilities. This rhetoric of probability does not amount to anything very different from an unguided estimate. More generously, we can say that the changing opinions of experts allow for guesses that are easier to trust secondhand, and that these guesses can be updated as new evidence arrives. Yet they remain guesses about several things that we do not know to be possible in the first place.</w:t>
      </w:r>
    </w:p>
    <w:p w14:paraId="41D64CF2" w14:textId="77777777" w:rsidR="00884C08" w:rsidRDefault="00884C08" w:rsidP="00884C08">
      <w:pPr>
        <w:spacing w:line="240" w:lineRule="auto"/>
        <w:rPr>
          <w:rFonts w:eastAsia="Calibri"/>
          <w:sz w:val="24"/>
          <w:szCs w:val="24"/>
        </w:rPr>
      </w:pPr>
      <w:r>
        <w:rPr>
          <w:rFonts w:eastAsia="Calibri"/>
          <w:sz w:val="14"/>
          <w:szCs w:val="14"/>
        </w:rPr>
        <w:t xml:space="preserve">There would seem to be a qualitative difference between such “probabilities” (if this is still the right term) that involve educated guesses and secondhand surveys, and the kind of probabilistic risk analysis that, though its conclusions remain uncertain, is able to use data about real past events to calculate a probability. Surveying the expert community can tell us the probability that a given expert will believe in human extinction by AI, not the probability of the event itself. Given Bostrom’s hedging, </w:t>
      </w:r>
      <w:r>
        <w:rPr>
          <w:rFonts w:eastAsia="Calibri"/>
          <w:u w:val="single"/>
        </w:rPr>
        <w:t>we are not just dealing with uncertainty but</w:t>
      </w:r>
      <w:r>
        <w:rPr>
          <w:rFonts w:eastAsia="Calibri"/>
          <w:sz w:val="14"/>
          <w:szCs w:val="14"/>
        </w:rPr>
        <w:t xml:space="preserve">, what is more </w:t>
      </w:r>
      <w:r>
        <w:rPr>
          <w:rFonts w:eastAsia="Calibri"/>
          <w:u w:val="single"/>
        </w:rPr>
        <w:t xml:space="preserve">abstract, rhetorical play with </w:t>
      </w:r>
      <w:r>
        <w:rPr>
          <w:rFonts w:eastAsia="Calibri"/>
          <w:b/>
          <w:bCs/>
          <w:sz w:val="28"/>
          <w:szCs w:val="28"/>
          <w:u w:val="single"/>
        </w:rPr>
        <w:t>uncertainty</w:t>
      </w:r>
      <w:r>
        <w:rPr>
          <w:rFonts w:eastAsia="Calibri"/>
          <w:u w:val="single"/>
        </w:rPr>
        <w:t xml:space="preserve"> about uncertainty.</w:t>
      </w:r>
      <w:r>
        <w:rPr>
          <w:rFonts w:eastAsia="Calibri"/>
          <w:sz w:val="14"/>
          <w:szCs w:val="14"/>
        </w:rPr>
        <w:t xml:space="preserve"> We would have to be very generous readers to grant that there is some truth to these forecasts when the fundamentally speculative nature of extinction scenarios, such guesswork is understandable. </w:t>
      </w:r>
      <w:r>
        <w:rPr>
          <w:rFonts w:eastAsia="Calibri"/>
          <w:highlight w:val="cyan"/>
          <w:u w:val="single"/>
        </w:rPr>
        <w:t xml:space="preserve">The </w:t>
      </w:r>
      <w:r>
        <w:rPr>
          <w:rFonts w:eastAsia="Calibri"/>
          <w:b/>
          <w:bCs/>
          <w:sz w:val="28"/>
          <w:szCs w:val="28"/>
          <w:highlight w:val="cyan"/>
          <w:u w:val="single"/>
        </w:rPr>
        <w:t>problem</w:t>
      </w:r>
      <w:r>
        <w:rPr>
          <w:rFonts w:eastAsia="Calibri"/>
          <w:highlight w:val="cyan"/>
          <w:u w:val="single"/>
        </w:rPr>
        <w:t xml:space="preserve"> is when it is a</w:t>
      </w:r>
      <w:r>
        <w:rPr>
          <w:rFonts w:eastAsia="Calibri"/>
          <w:u w:val="single"/>
        </w:rPr>
        <w:t xml:space="preserve">lso </w:t>
      </w:r>
      <w:r>
        <w:rPr>
          <w:rFonts w:eastAsia="Calibri"/>
          <w:highlight w:val="cyan"/>
          <w:u w:val="single"/>
        </w:rPr>
        <w:t>treated as</w:t>
      </w:r>
      <w:r>
        <w:rPr>
          <w:rFonts w:eastAsia="Calibri"/>
          <w:u w:val="single"/>
        </w:rPr>
        <w:t xml:space="preserve"> “scientific” and “</w:t>
      </w:r>
      <w:r>
        <w:rPr>
          <w:rFonts w:eastAsia="Calibri"/>
          <w:b/>
          <w:bCs/>
          <w:sz w:val="28"/>
          <w:szCs w:val="28"/>
          <w:highlight w:val="cyan"/>
          <w:u w:val="single"/>
        </w:rPr>
        <w:t>rational</w:t>
      </w:r>
      <w:r>
        <w:rPr>
          <w:rFonts w:eastAsia="Calibri"/>
          <w:highlight w:val="cyan"/>
          <w:u w:val="single"/>
        </w:rPr>
        <w:t>” grounds for political policy</w:t>
      </w:r>
      <w:r>
        <w:rPr>
          <w:rFonts w:eastAsia="Calibri"/>
          <w:sz w:val="14"/>
          <w:szCs w:val="14"/>
        </w:rPr>
        <w:t>—even as the only grounds worth mentioning.</w:t>
      </w:r>
    </w:p>
    <w:p w14:paraId="5552C60A" w14:textId="77777777" w:rsidR="00884C08" w:rsidRDefault="00884C08" w:rsidP="00884C08">
      <w:pPr>
        <w:spacing w:line="240" w:lineRule="auto"/>
        <w:rPr>
          <w:rFonts w:eastAsia="Calibri"/>
          <w:sz w:val="24"/>
          <w:szCs w:val="24"/>
        </w:rPr>
      </w:pPr>
      <w:r>
        <w:rPr>
          <w:rFonts w:eastAsia="Calibri"/>
          <w:sz w:val="14"/>
          <w:szCs w:val="14"/>
        </w:rPr>
        <w:t>Stepping Back from the Precipice</w:t>
      </w:r>
    </w:p>
    <w:p w14:paraId="63845D93" w14:textId="77777777" w:rsidR="00884C08" w:rsidRDefault="00884C08" w:rsidP="00884C08">
      <w:pPr>
        <w:spacing w:line="240" w:lineRule="auto"/>
        <w:rPr>
          <w:rFonts w:eastAsia="Calibri"/>
          <w:sz w:val="24"/>
          <w:szCs w:val="24"/>
        </w:rPr>
      </w:pPr>
      <w:r>
        <w:rPr>
          <w:rFonts w:eastAsia="Calibri"/>
          <w:sz w:val="14"/>
          <w:szCs w:val="14"/>
        </w:rPr>
        <w:t>A similar problem is found in Toby Ord’s use of ostensibly Bayesian probability in his recent book The Precipice. Ord’s analysis draws on a form of probability theory that, in Ian Hacking’s words, “offers a way to represent rational change in belief, in light of new evidence.”16 For Hacking, Bayesian theory matters most to “personal probability” or “belief-type probability.” It is a way of formalizing the process of updating one’s beliefs—or guesses about probability— by learning from experience. The basic idea is that given Pr(H1 ) as a “prior probability,” new evidence E will give a posterior probability, Pr(H1 /E). The process is iterative. The posterior probability can be fed back into the equation as a new value for H, and evaluated again in terms of new evidence, and so on. There are further complexities that we leave aside. The point is that new evidence is necessary for this looping process that offers a good way to incorporate prior beliefs—that is, to avoid the blunt tool of an empiricism that claims to think only with firsthand sensory evidence. </w:t>
      </w:r>
    </w:p>
    <w:p w14:paraId="6806B87A" w14:textId="77777777" w:rsidR="00884C08" w:rsidRDefault="00884C08" w:rsidP="00884C08">
      <w:pPr>
        <w:spacing w:line="240" w:lineRule="auto"/>
        <w:rPr>
          <w:rFonts w:eastAsia="Calibri"/>
          <w:sz w:val="24"/>
          <w:szCs w:val="24"/>
        </w:rPr>
      </w:pPr>
      <w:r>
        <w:rPr>
          <w:rFonts w:eastAsia="Calibri"/>
          <w:sz w:val="14"/>
          <w:szCs w:val="14"/>
        </w:rPr>
        <w:t>Like Bostrom, Ord is discussing the probability of AI-caused human extinction, but in the context of a general chapter about “quantifying risks” in the twenty-first century “risk landscape,” so his statements about method apply to the field’s basic model as well. For Ord, the greatest risk in the next hundred years comes from AI. He rates the risk of extinction at one in ten, then notes that such a high number for such a “speculative risk” needs more explanation:</w:t>
      </w:r>
    </w:p>
    <w:p w14:paraId="64E0059F" w14:textId="77777777" w:rsidR="00884C08" w:rsidRDefault="00884C08" w:rsidP="00884C08">
      <w:pPr>
        <w:spacing w:line="240" w:lineRule="auto"/>
        <w:ind w:left="720"/>
        <w:rPr>
          <w:rFonts w:eastAsia="Calibri"/>
          <w:sz w:val="24"/>
          <w:szCs w:val="24"/>
        </w:rPr>
      </w:pPr>
      <w:r>
        <w:rPr>
          <w:rFonts w:eastAsia="Calibri"/>
          <w:sz w:val="14"/>
          <w:szCs w:val="14"/>
        </w:rPr>
        <w:t>A common approach to estimating the chance of an unprecedented event with earth-shaking consequences is to take a skeptical stance: to start with an extremely small probability and only raise it from there when a large amount of hard evidence is presented. But I disagree. Instead, I think the right method is to start with a probability that reflects our overall impressions, then adjust in light of scientific evidence. When there is a lot of evidence, these approaches converge. But when there isn’t, the starting point can matter.17</w:t>
      </w:r>
    </w:p>
    <w:p w14:paraId="014494C9" w14:textId="77777777" w:rsidR="00884C08" w:rsidRDefault="00884C08" w:rsidP="00884C08">
      <w:pPr>
        <w:spacing w:line="240" w:lineRule="auto"/>
        <w:rPr>
          <w:rFonts w:eastAsia="Calibri"/>
          <w:sz w:val="24"/>
          <w:szCs w:val="24"/>
        </w:rPr>
      </w:pPr>
      <w:r>
        <w:rPr>
          <w:rFonts w:eastAsia="Calibri"/>
          <w:sz w:val="14"/>
          <w:szCs w:val="14"/>
        </w:rPr>
        <w:t>In an endnote to this passage, Ord goes on to explain that this approach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human-level AI to AI as an extinction threat. While all of this is cast in the language of Bayesian updating, the Bayesian calculations themselves are promissory—as they must be given that we have no evidence to fill the variable “E” and temper our initial beliefs. So Ord’s calculations are based on his own beliefs as an existential risk theorist and on the opinions of the uncited experts; Bostrom’s calculations are based on his own beliefs and the average of a small sample of expert opinion. Arguably these probabilities are all prior. The authors give lip service to a Bayesianism that cannot be operationalized by definition for an unprecedented event.20</w:t>
      </w:r>
    </w:p>
    <w:p w14:paraId="3F0C8556" w14:textId="77777777" w:rsidR="00884C08" w:rsidRDefault="00884C08" w:rsidP="00884C08">
      <w:pPr>
        <w:spacing w:line="240" w:lineRule="auto"/>
        <w:rPr>
          <w:rFonts w:eastAsia="Calibri"/>
          <w:sz w:val="24"/>
          <w:szCs w:val="24"/>
        </w:rPr>
      </w:pPr>
      <w:r>
        <w:rPr>
          <w:rFonts w:eastAsia="Calibri"/>
          <w:sz w:val="14"/>
          <w:szCs w:val="14"/>
        </w:rPr>
        <w:t xml:space="preserve">One could imagine a situation in which these ideas were more innocently speculative, so that the effort to treat guesswork as a foundation would be less problematic. But the mixture of utilitarianism and the rhetoric of probability that forms the field’s basic model entails norms about what should be done in the present to mitigate existential risks. </w:t>
      </w:r>
      <w:r>
        <w:rPr>
          <w:rFonts w:eastAsia="Calibri"/>
          <w:u w:val="single"/>
        </w:rPr>
        <w:t>These promissory probabilities and their norms don’t take place in a political-economic vacuum, isolated from practice. The Future of Humanity Institute, The Future of Life Institute, and the Centre for the Study of Existential Risk have received considerable funding, interest, and participation from tech billionaires.</w:t>
      </w:r>
      <w:r>
        <w:rPr>
          <w:rFonts w:eastAsia="Calibri"/>
          <w:sz w:val="14"/>
          <w:szCs w:val="14"/>
        </w:rPr>
        <w:t xml:space="preserve"> YouTube videos by Bostrom are widely viewed. As their institutional and media footprints suggest, </w:t>
      </w:r>
      <w:r>
        <w:rPr>
          <w:rFonts w:eastAsia="Calibri"/>
          <w:u w:val="single"/>
        </w:rPr>
        <w:t>this field is not at all shy about capturing attention and funding</w:t>
      </w:r>
      <w:r>
        <w:rPr>
          <w:rFonts w:eastAsia="Calibri"/>
          <w:sz w:val="14"/>
          <w:szCs w:val="14"/>
        </w:rPr>
        <w:t>. After offering his belief-type probabilities, Ord argues that humanity has a 1/6 chance of extinction over the next hundred years, and lowering this number should be “a key global priority.”21 All five of the major existential risks— nuclear war, climate change, other environmental damage, AI, and designed pandemics—“warrant major global efforts on the grounds of their contribution to existential risk” (169). But the long menu of “minor” extinction risks merits major action as well.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IPCC, but aimed at assessing existential risk as a whole.”22 For existential risk theorists, then, the policy and budgetary changes based on their rhetoric of probability ought to be dramatic and immediate. And when it comes to the popular nonacademic writings and declarations, the promissory calculations recede even further into the background, from appendices and box essays to gestures about the future of the field. Perhaps this is where the rhetoric of probability becomes most problematic. Given the public-facing nature of existential risk, this problem can hardly be seen as a necessary side effect of simplifying specialist work. Quite simply, the core practice of the field is not calculation but commentary about future calculation with normative weight in the present.</w:t>
      </w:r>
    </w:p>
    <w:p w14:paraId="5E64156C" w14:textId="77777777" w:rsidR="00884C08" w:rsidRDefault="00884C08" w:rsidP="00884C08">
      <w:pPr>
        <w:spacing w:line="240" w:lineRule="auto"/>
        <w:rPr>
          <w:rFonts w:eastAsia="Calibri"/>
          <w:sz w:val="24"/>
          <w:szCs w:val="24"/>
        </w:rPr>
      </w:pPr>
      <w:r>
        <w:rPr>
          <w:rFonts w:eastAsia="Calibri"/>
          <w:sz w:val="14"/>
          <w:szCs w:val="14"/>
        </w:rPr>
        <w:t xml:space="preserve">Radical political change is needed to ease the effects of global warming and preserve biodiversity, even if they are not extinction risks to humanity. </w:t>
      </w:r>
      <w:r>
        <w:rPr>
          <w:rFonts w:eastAsia="Calibri"/>
          <w:u w:val="single"/>
        </w:rPr>
        <w:t>But existential risk studies take such a bird’s eye view of humanity that it is incapable of intervening in a context of austerity measures for education and public services, systemic racism, and extreme, worsening class inequality, among other social problems. S</w:t>
      </w:r>
      <w:r>
        <w:rPr>
          <w:rFonts w:eastAsia="Calibri"/>
          <w:sz w:val="14"/>
          <w:szCs w:val="14"/>
        </w:rPr>
        <w:t xml:space="preserve">o these genuine proposals for a massive expansion of existential risk mitigation must compete with other sorely needed fields that are at constant risk of being defunded. </w:t>
      </w:r>
      <w:r>
        <w:rPr>
          <w:rFonts w:eastAsia="Calibri"/>
          <w:u w:val="single"/>
        </w:rPr>
        <w:t xml:space="preserve">In the university space, </w:t>
      </w:r>
      <w:r>
        <w:rPr>
          <w:rFonts w:eastAsia="Calibri"/>
          <w:b/>
          <w:bCs/>
          <w:sz w:val="28"/>
          <w:szCs w:val="28"/>
          <w:highlight w:val="cyan"/>
          <w:u w:val="single"/>
        </w:rPr>
        <w:t>ex</w:t>
      </w:r>
      <w:r>
        <w:rPr>
          <w:rFonts w:eastAsia="Calibri"/>
          <w:u w:val="single"/>
        </w:rPr>
        <w:t xml:space="preserve">istential </w:t>
      </w:r>
      <w:r>
        <w:rPr>
          <w:rFonts w:eastAsia="Calibri"/>
          <w:b/>
          <w:bCs/>
          <w:sz w:val="28"/>
          <w:szCs w:val="28"/>
          <w:highlight w:val="cyan"/>
          <w:u w:val="single"/>
        </w:rPr>
        <w:t>risk</w:t>
      </w:r>
      <w:r>
        <w:rPr>
          <w:rFonts w:eastAsia="Calibri"/>
          <w:u w:val="single"/>
        </w:rPr>
        <w:t xml:space="preserve"> studies </w:t>
      </w:r>
      <w:r>
        <w:rPr>
          <w:rFonts w:eastAsia="Calibri"/>
          <w:highlight w:val="cyan"/>
          <w:u w:val="single"/>
        </w:rPr>
        <w:t>gather steam</w:t>
      </w:r>
      <w:r>
        <w:rPr>
          <w:rFonts w:eastAsia="Calibri"/>
          <w:u w:val="single"/>
        </w:rPr>
        <w:t xml:space="preserve"> and institutional </w:t>
      </w:r>
      <w:r>
        <w:rPr>
          <w:rFonts w:eastAsia="Calibri"/>
          <w:highlight w:val="cyan"/>
          <w:u w:val="single"/>
        </w:rPr>
        <w:t xml:space="preserve">support while </w:t>
      </w:r>
      <w:r>
        <w:rPr>
          <w:rFonts w:eastAsia="Calibri"/>
          <w:b/>
          <w:bCs/>
          <w:sz w:val="28"/>
          <w:szCs w:val="28"/>
          <w:highlight w:val="cyan"/>
          <w:u w:val="single"/>
        </w:rPr>
        <w:t>austerity</w:t>
      </w:r>
      <w:r>
        <w:rPr>
          <w:rFonts w:eastAsia="Calibri"/>
          <w:highlight w:val="cyan"/>
          <w:u w:val="single"/>
        </w:rPr>
        <w:t xml:space="preserve"> reigns</w:t>
      </w:r>
      <w:r>
        <w:rPr>
          <w:rFonts w:eastAsia="Calibri"/>
          <w:u w:val="single"/>
        </w:rPr>
        <w:t xml:space="preserve"> for traditional humanities disciplines as well as for more recent fields like critical race studies that educate people about human histories of oppression in a time of nationalist and white-supremacist reaction.</w:t>
      </w:r>
      <w:r>
        <w:rPr>
          <w:rFonts w:eastAsia="Calibri"/>
          <w:sz w:val="14"/>
          <w:szCs w:val="14"/>
        </w:rPr>
        <w:t xml:space="preserve"> The coronavirus pandemic has </w:t>
      </w:r>
      <w:r>
        <w:rPr>
          <w:rFonts w:eastAsia="Calibri"/>
          <w:sz w:val="14"/>
          <w:szCs w:val="14"/>
        </w:rPr>
        <w:lastRenderedPageBreak/>
        <w:t>highlighted the racial inequality of infection and death rates just as it has shown the need for radical change in our agro-industrial food systems. We need research at multiple scales across the sciences and humanities into these existentially crushing structures of oppression, how current relations between cultures and natures became disempowering for so many, and how both can change in the near future.</w:t>
      </w:r>
    </w:p>
    <w:p w14:paraId="4096CC17" w14:textId="77777777" w:rsidR="00884C08" w:rsidRDefault="00884C08" w:rsidP="00884C08">
      <w:pPr>
        <w:spacing w:line="240" w:lineRule="auto"/>
        <w:rPr>
          <w:rFonts w:eastAsia="Calibri"/>
          <w:sz w:val="24"/>
          <w:szCs w:val="24"/>
        </w:rPr>
      </w:pPr>
      <w:r>
        <w:rPr>
          <w:rFonts w:eastAsia="Calibri"/>
          <w:b/>
          <w:bCs/>
          <w:sz w:val="28"/>
          <w:szCs w:val="28"/>
          <w:highlight w:val="cyan"/>
          <w:u w:val="single"/>
        </w:rPr>
        <w:t>Ex</w:t>
      </w:r>
      <w:r>
        <w:rPr>
          <w:rFonts w:eastAsia="Calibri"/>
          <w:u w:val="single"/>
        </w:rPr>
        <w:t xml:space="preserve">istential </w:t>
      </w:r>
      <w:r>
        <w:rPr>
          <w:rFonts w:eastAsia="Calibri"/>
          <w:b/>
          <w:bCs/>
          <w:sz w:val="28"/>
          <w:szCs w:val="28"/>
          <w:highlight w:val="cyan"/>
          <w:u w:val="single"/>
        </w:rPr>
        <w:t>risk</w:t>
      </w:r>
      <w:r>
        <w:rPr>
          <w:rFonts w:eastAsia="Calibri"/>
          <w:u w:val="single"/>
        </w:rPr>
        <w:t xml:space="preserve"> analysis </w:t>
      </w:r>
      <w:r>
        <w:rPr>
          <w:rFonts w:eastAsia="Calibri"/>
          <w:highlight w:val="cyan"/>
          <w:u w:val="single"/>
        </w:rPr>
        <w:t xml:space="preserve">is </w:t>
      </w:r>
      <w:r>
        <w:rPr>
          <w:rFonts w:eastAsia="Calibri"/>
          <w:b/>
          <w:bCs/>
          <w:sz w:val="28"/>
          <w:szCs w:val="28"/>
          <w:highlight w:val="cyan"/>
          <w:u w:val="single"/>
        </w:rPr>
        <w:t>not</w:t>
      </w:r>
      <w:r>
        <w:rPr>
          <w:rFonts w:eastAsia="Calibri"/>
          <w:highlight w:val="cyan"/>
          <w:u w:val="single"/>
        </w:rPr>
        <w:t xml:space="preserve"> risk analysis</w:t>
      </w:r>
      <w:r>
        <w:rPr>
          <w:rFonts w:eastAsia="Calibri"/>
          <w:u w:val="single"/>
        </w:rPr>
        <w:t xml:space="preserve">. </w:t>
      </w:r>
      <w:r>
        <w:rPr>
          <w:rFonts w:eastAsia="Calibri"/>
          <w:sz w:val="14"/>
          <w:szCs w:val="14"/>
        </w:rPr>
        <w:t xml:space="preserve">This statement is only slightly hyperbolic. To be fair, there are some cases where calculating rough probabilities of planetary extinction seems possible. The frequently cited example is asteroid strikes. But even Ord admits the </w:t>
      </w:r>
      <w:r>
        <w:rPr>
          <w:rFonts w:eastAsia="Calibri"/>
          <w:u w:val="single"/>
        </w:rPr>
        <w:t>theoretical limits inherent in calculating the probabilities of unprecedented events</w:t>
      </w:r>
      <w:r>
        <w:rPr>
          <w:rFonts w:eastAsia="Calibri"/>
          <w:sz w:val="14"/>
          <w:szCs w:val="14"/>
        </w:rPr>
        <w:t xml:space="preserve">—especially the kind that, by definition, </w:t>
      </w:r>
      <w:r>
        <w:rPr>
          <w:rFonts w:eastAsia="Calibri"/>
          <w:u w:val="single"/>
        </w:rPr>
        <w:t>would leave no survivors to perform Bayesian updates.</w:t>
      </w:r>
      <w:r>
        <w:rPr>
          <w:rFonts w:eastAsia="Calibri"/>
          <w:sz w:val="14"/>
          <w:szCs w:val="14"/>
        </w:rPr>
        <w:t xml:space="preserve"> From Bostrom and Ćirković’s early Global Catastrophic Risk to the growing archive of relevant papers on the website of the Centre for the Study of Existential Risk, our reading suggests that </w:t>
      </w:r>
      <w:r>
        <w:rPr>
          <w:rFonts w:eastAsia="Calibri"/>
          <w:highlight w:val="cyan"/>
          <w:u w:val="single"/>
        </w:rPr>
        <w:t>there is</w:t>
      </w:r>
      <w:r>
        <w:rPr>
          <w:rFonts w:eastAsia="Calibri"/>
          <w:u w:val="single"/>
        </w:rPr>
        <w:t xml:space="preserve"> very </w:t>
      </w:r>
      <w:r>
        <w:rPr>
          <w:rFonts w:eastAsia="Calibri"/>
          <w:b/>
          <w:bCs/>
          <w:sz w:val="28"/>
          <w:szCs w:val="28"/>
          <w:highlight w:val="cyan"/>
          <w:u w:val="single"/>
        </w:rPr>
        <w:t>little</w:t>
      </w:r>
      <w:r>
        <w:rPr>
          <w:rFonts w:eastAsia="Calibri"/>
          <w:highlight w:val="cyan"/>
          <w:u w:val="single"/>
        </w:rPr>
        <w:t xml:space="preserve"> actionable</w:t>
      </w:r>
      <w:r>
        <w:rPr>
          <w:rFonts w:eastAsia="Calibri"/>
          <w:u w:val="single"/>
        </w:rPr>
        <w:t xml:space="preserve"> probabilistic risk </w:t>
      </w:r>
      <w:r>
        <w:rPr>
          <w:rFonts w:eastAsia="Calibri"/>
          <w:highlight w:val="cyan"/>
          <w:u w:val="single"/>
        </w:rPr>
        <w:t>analysis</w:t>
      </w:r>
      <w:r>
        <w:rPr>
          <w:rFonts w:eastAsia="Calibri"/>
        </w:rPr>
        <w:t xml:space="preserve"> </w:t>
      </w:r>
      <w:r>
        <w:rPr>
          <w:rFonts w:eastAsia="Calibri"/>
          <w:sz w:val="14"/>
          <w:szCs w:val="14"/>
        </w:rPr>
        <w:t xml:space="preserve">going on in this field. Perhaps this is </w:t>
      </w:r>
      <w:r>
        <w:rPr>
          <w:rFonts w:eastAsia="Calibri"/>
          <w:u w:val="single"/>
        </w:rPr>
        <w:t xml:space="preserve">due to conceptual incoherence: the study of existential risk is founded on an impossible data point. </w:t>
      </w:r>
      <w:r>
        <w:rPr>
          <w:rFonts w:eastAsia="Calibri"/>
          <w:sz w:val="14"/>
          <w:szCs w:val="14"/>
        </w:rPr>
        <w:t xml:space="preserve">Most of </w:t>
      </w:r>
      <w:r>
        <w:rPr>
          <w:rFonts w:eastAsia="Calibri"/>
          <w:u w:val="single"/>
        </w:rPr>
        <w:t>the extinction events that form its core object of study are simply not tractable in its model.</w:t>
      </w:r>
      <w:r>
        <w:rPr>
          <w:rFonts w:eastAsia="Calibri"/>
          <w:sz w:val="14"/>
          <w:szCs w:val="14"/>
        </w:rPr>
        <w:t xml:space="preserve"> We can study extinction through other methods, but </w:t>
      </w:r>
      <w:r>
        <w:rPr>
          <w:rFonts w:eastAsia="Calibri"/>
          <w:u w:val="single"/>
        </w:rPr>
        <w:t xml:space="preserve">we cannot estimate the probability of </w:t>
      </w:r>
      <w:r>
        <w:rPr>
          <w:rFonts w:eastAsia="Calibri"/>
          <w:sz w:val="14"/>
          <w:szCs w:val="14"/>
        </w:rPr>
        <w:t xml:space="preserve">most </w:t>
      </w:r>
      <w:r>
        <w:rPr>
          <w:rFonts w:eastAsia="Calibri"/>
          <w:u w:val="single"/>
        </w:rPr>
        <w:t>extinction events</w:t>
      </w:r>
      <w:r>
        <w:rPr>
          <w:rFonts w:eastAsia="Calibri"/>
          <w:sz w:val="14"/>
          <w:szCs w:val="14"/>
        </w:rPr>
        <w:t>—especially the kind that matter most to these theorists, which are the “human caused” or technological ones over which “we” would seem to have the most agency.</w:t>
      </w:r>
    </w:p>
    <w:p w14:paraId="742071DB" w14:textId="77777777" w:rsidR="00884C08" w:rsidRDefault="00884C08" w:rsidP="00884C08">
      <w:pPr>
        <w:spacing w:line="240" w:lineRule="auto"/>
        <w:rPr>
          <w:rFonts w:eastAsia="Calibri"/>
          <w:u w:val="single"/>
        </w:rPr>
      </w:pPr>
      <w:r>
        <w:rPr>
          <w:rFonts w:eastAsia="Calibri"/>
          <w:u w:val="single"/>
        </w:rPr>
        <w:t>The problem with</w:t>
      </w:r>
      <w:r>
        <w:rPr>
          <w:rFonts w:eastAsia="Calibri"/>
          <w:sz w:val="14"/>
          <w:szCs w:val="14"/>
        </w:rPr>
        <w:t xml:space="preserve"> the lion’s share of </w:t>
      </w:r>
      <w:r>
        <w:rPr>
          <w:rFonts w:eastAsia="Calibri"/>
          <w:u w:val="single"/>
        </w:rPr>
        <w:t xml:space="preserve">this </w:t>
      </w:r>
      <w:r>
        <w:rPr>
          <w:rFonts w:eastAsia="Calibri"/>
          <w:highlight w:val="cyan"/>
          <w:u w:val="single"/>
        </w:rPr>
        <w:t>discourse</w:t>
      </w:r>
      <w:r>
        <w:rPr>
          <w:rFonts w:eastAsia="Calibri"/>
          <w:u w:val="single"/>
        </w:rPr>
        <w:t xml:space="preserve"> is</w:t>
      </w:r>
      <w:r>
        <w:rPr>
          <w:rFonts w:eastAsia="Calibri"/>
          <w:sz w:val="14"/>
          <w:szCs w:val="14"/>
        </w:rPr>
        <w:t xml:space="preserve"> that </w:t>
      </w:r>
      <w:r>
        <w:rPr>
          <w:rFonts w:eastAsia="Calibri"/>
          <w:u w:val="single"/>
        </w:rPr>
        <w:t xml:space="preserve">it gains </w:t>
      </w:r>
      <w:r>
        <w:rPr>
          <w:rFonts w:eastAsia="Calibri"/>
          <w:highlight w:val="cyan"/>
          <w:u w:val="single"/>
        </w:rPr>
        <w:t>legitimacy by</w:t>
      </w:r>
      <w:r>
        <w:rPr>
          <w:rFonts w:eastAsia="Calibri"/>
          <w:u w:val="single"/>
        </w:rPr>
        <w:t xml:space="preserve"> offering </w:t>
      </w:r>
      <w:r>
        <w:rPr>
          <w:rFonts w:eastAsia="Calibri"/>
          <w:highlight w:val="cyan"/>
          <w:u w:val="single"/>
        </w:rPr>
        <w:t>quantification</w:t>
      </w:r>
      <w:r>
        <w:rPr>
          <w:rFonts w:eastAsia="Calibri"/>
          <w:sz w:val="14"/>
          <w:szCs w:val="14"/>
        </w:rPr>
        <w:t xml:space="preserve"> in an academic and corporate research world that privileges quantitative fields. </w:t>
      </w:r>
      <w:r>
        <w:rPr>
          <w:rFonts w:eastAsia="Calibri"/>
          <w:highlight w:val="cyan"/>
          <w:u w:val="single"/>
        </w:rPr>
        <w:t>But</w:t>
      </w:r>
      <w:r>
        <w:rPr>
          <w:rFonts w:eastAsia="Calibri"/>
          <w:u w:val="single"/>
        </w:rPr>
        <w:t xml:space="preserve"> what it really offers is typology, speculation akin to </w:t>
      </w:r>
      <w:r>
        <w:rPr>
          <w:rFonts w:eastAsia="Calibri"/>
          <w:b/>
          <w:bCs/>
          <w:sz w:val="28"/>
          <w:szCs w:val="28"/>
          <w:highlight w:val="cyan"/>
          <w:u w:val="single"/>
        </w:rPr>
        <w:t>scenario planning</w:t>
      </w:r>
      <w:r>
        <w:rPr>
          <w:rFonts w:eastAsia="Calibri"/>
          <w:sz w:val="14"/>
          <w:szCs w:val="14"/>
        </w:rPr>
        <w:t>, and—most important for this chapter—</w:t>
      </w:r>
      <w:r>
        <w:rPr>
          <w:rFonts w:eastAsia="Calibri"/>
          <w:u w:val="single"/>
        </w:rPr>
        <w:t xml:space="preserve">a </w:t>
      </w:r>
      <w:r>
        <w:rPr>
          <w:rFonts w:eastAsia="Calibri"/>
          <w:b/>
          <w:bCs/>
          <w:sz w:val="28"/>
          <w:szCs w:val="28"/>
          <w:highlight w:val="cyan"/>
          <w:u w:val="single"/>
        </w:rPr>
        <w:t>promissory rhetoric</w:t>
      </w:r>
      <w:r>
        <w:rPr>
          <w:rFonts w:eastAsia="Calibri"/>
          <w:u w:val="single"/>
        </w:rPr>
        <w:t xml:space="preserve"> of probability </w:t>
      </w:r>
      <w:r>
        <w:rPr>
          <w:rFonts w:eastAsia="Calibri"/>
          <w:b/>
          <w:bCs/>
          <w:sz w:val="28"/>
          <w:szCs w:val="28"/>
          <w:highlight w:val="cyan"/>
          <w:u w:val="single"/>
        </w:rPr>
        <w:t>rather</w:t>
      </w:r>
      <w:r>
        <w:rPr>
          <w:rFonts w:eastAsia="Calibri"/>
          <w:highlight w:val="cyan"/>
          <w:u w:val="single"/>
        </w:rPr>
        <w:t xml:space="preserve"> than </w:t>
      </w:r>
      <w:r>
        <w:rPr>
          <w:rFonts w:eastAsia="Calibri"/>
          <w:b/>
          <w:bCs/>
          <w:sz w:val="28"/>
          <w:szCs w:val="28"/>
          <w:highlight w:val="cyan"/>
          <w:u w:val="single"/>
        </w:rPr>
        <w:t>rigorous</w:t>
      </w:r>
      <w:r>
        <w:rPr>
          <w:rFonts w:eastAsia="Calibri"/>
          <w:highlight w:val="cyan"/>
          <w:u w:val="single"/>
        </w:rPr>
        <w:t xml:space="preserve"> calculations</w:t>
      </w:r>
      <w:r>
        <w:rPr>
          <w:rFonts w:eastAsia="Calibri"/>
          <w:u w:val="single"/>
        </w:rPr>
        <w:t xml:space="preserve">. </w:t>
      </w:r>
      <w:r>
        <w:rPr>
          <w:rFonts w:eastAsia="Calibri"/>
          <w:sz w:val="14"/>
          <w:szCs w:val="14"/>
        </w:rPr>
        <w:t xml:space="preserve">Moreover, </w:t>
      </w:r>
      <w:r>
        <w:rPr>
          <w:rFonts w:eastAsia="Calibri"/>
          <w:highlight w:val="cyan"/>
          <w:u w:val="single"/>
        </w:rPr>
        <w:t>valuing</w:t>
      </w:r>
      <w:r>
        <w:rPr>
          <w:rFonts w:eastAsia="Calibri"/>
          <w:u w:val="single"/>
        </w:rPr>
        <w:t xml:space="preserve"> the </w:t>
      </w:r>
      <w:r>
        <w:rPr>
          <w:rFonts w:eastAsia="Calibri"/>
          <w:highlight w:val="cyan"/>
          <w:u w:val="single"/>
        </w:rPr>
        <w:t>future</w:t>
      </w:r>
      <w:r>
        <w:rPr>
          <w:rFonts w:eastAsia="Calibri"/>
          <w:u w:val="single"/>
        </w:rPr>
        <w:t xml:space="preserve"> of humanity </w:t>
      </w:r>
      <w:r>
        <w:rPr>
          <w:rFonts w:eastAsia="Calibri"/>
          <w:b/>
          <w:bCs/>
          <w:sz w:val="28"/>
          <w:szCs w:val="28"/>
          <w:highlight w:val="cyan"/>
          <w:u w:val="single"/>
        </w:rPr>
        <w:t>quantitatively</w:t>
      </w:r>
      <w:r>
        <w:rPr>
          <w:rFonts w:eastAsia="Calibri"/>
          <w:highlight w:val="cyan"/>
          <w:u w:val="single"/>
        </w:rPr>
        <w:t xml:space="preserve"> is </w:t>
      </w:r>
      <w:r>
        <w:rPr>
          <w:rFonts w:eastAsia="Calibri"/>
          <w:b/>
          <w:bCs/>
          <w:sz w:val="28"/>
          <w:szCs w:val="28"/>
          <w:highlight w:val="cyan"/>
          <w:u w:val="single"/>
        </w:rPr>
        <w:t>not possible</w:t>
      </w:r>
      <w:r>
        <w:rPr>
          <w:rFonts w:eastAsia="Calibri"/>
          <w:highlight w:val="cyan"/>
          <w:u w:val="single"/>
        </w:rPr>
        <w:t xml:space="preserve"> because</w:t>
      </w:r>
      <w:r>
        <w:rPr>
          <w:rFonts w:eastAsia="Calibri"/>
          <w:u w:val="single"/>
        </w:rPr>
        <w:t xml:space="preserve"> such </w:t>
      </w:r>
      <w:r>
        <w:rPr>
          <w:rFonts w:eastAsia="Calibri"/>
          <w:b/>
          <w:bCs/>
          <w:sz w:val="28"/>
          <w:szCs w:val="28"/>
          <w:highlight w:val="cyan"/>
          <w:u w:val="single"/>
        </w:rPr>
        <w:t>value</w:t>
      </w:r>
      <w:r>
        <w:rPr>
          <w:rFonts w:eastAsia="Calibri"/>
          <w:highlight w:val="cyan"/>
          <w:u w:val="single"/>
        </w:rPr>
        <w:t xml:space="preserve"> is </w:t>
      </w:r>
      <w:r>
        <w:rPr>
          <w:rFonts w:eastAsia="Calibri"/>
          <w:b/>
          <w:bCs/>
          <w:sz w:val="28"/>
          <w:szCs w:val="28"/>
          <w:highlight w:val="cyan"/>
          <w:u w:val="single"/>
        </w:rPr>
        <w:t>relative</w:t>
      </w:r>
      <w:r>
        <w:rPr>
          <w:rFonts w:eastAsia="Calibri"/>
          <w:u w:val="single"/>
        </w:rPr>
        <w:t xml:space="preserve"> and qualitative.23 But this has not in the past stopped attempts to evaluate humans quantitatively, and </w:t>
      </w:r>
      <w:r>
        <w:rPr>
          <w:rFonts w:eastAsia="Calibri"/>
          <w:highlight w:val="cyan"/>
          <w:u w:val="single"/>
        </w:rPr>
        <w:t>this</w:t>
      </w:r>
      <w:r>
        <w:rPr>
          <w:rFonts w:eastAsia="Calibri"/>
          <w:u w:val="single"/>
        </w:rPr>
        <w:t xml:space="preserve"> evaluative “</w:t>
      </w:r>
      <w:r>
        <w:rPr>
          <w:rFonts w:eastAsia="Calibri"/>
          <w:highlight w:val="cyan"/>
          <w:u w:val="single"/>
        </w:rPr>
        <w:t>logic</w:t>
      </w:r>
      <w:r>
        <w:rPr>
          <w:rFonts w:eastAsia="Calibri"/>
          <w:u w:val="single"/>
        </w:rPr>
        <w:t xml:space="preserve">” appears </w:t>
      </w:r>
      <w:r>
        <w:rPr>
          <w:rFonts w:eastAsia="Calibri"/>
          <w:b/>
          <w:bCs/>
          <w:sz w:val="28"/>
          <w:szCs w:val="28"/>
          <w:highlight w:val="cyan"/>
          <w:u w:val="single"/>
        </w:rPr>
        <w:t>incapable</w:t>
      </w:r>
      <w:r>
        <w:rPr>
          <w:rFonts w:eastAsia="Calibri"/>
          <w:u w:val="single"/>
        </w:rPr>
        <w:t xml:space="preserve"> of extricating itself </w:t>
      </w:r>
      <w:r>
        <w:rPr>
          <w:rFonts w:eastAsia="Calibri"/>
          <w:highlight w:val="cyan"/>
          <w:u w:val="single"/>
        </w:rPr>
        <w:t xml:space="preserve">from </w:t>
      </w:r>
      <w:r>
        <w:rPr>
          <w:rFonts w:eastAsia="Calibri"/>
          <w:b/>
          <w:bCs/>
          <w:sz w:val="28"/>
          <w:szCs w:val="28"/>
          <w:highlight w:val="cyan"/>
          <w:u w:val="single"/>
        </w:rPr>
        <w:t>scientific racism</w:t>
      </w:r>
      <w:r>
        <w:rPr>
          <w:rFonts w:eastAsia="Calibri"/>
          <w:u w:val="single"/>
        </w:rPr>
        <w:t xml:space="preserve">, biopolitical management, </w:t>
      </w:r>
      <w:r>
        <w:rPr>
          <w:rFonts w:eastAsia="Calibri"/>
          <w:highlight w:val="cyan"/>
          <w:u w:val="single"/>
        </w:rPr>
        <w:t xml:space="preserve">and </w:t>
      </w:r>
      <w:r>
        <w:rPr>
          <w:rFonts w:eastAsia="Calibri"/>
          <w:b/>
          <w:bCs/>
          <w:sz w:val="28"/>
          <w:szCs w:val="28"/>
          <w:highlight w:val="cyan"/>
          <w:u w:val="single"/>
        </w:rPr>
        <w:t>eugenics</w:t>
      </w:r>
      <w:r>
        <w:rPr>
          <w:rFonts w:eastAsia="Calibri"/>
          <w:u w:val="single"/>
        </w:rPr>
        <w:t xml:space="preserve">. </w:t>
      </w:r>
      <w:r>
        <w:rPr>
          <w:rFonts w:eastAsia="Calibri"/>
          <w:sz w:val="16"/>
          <w:szCs w:val="16"/>
          <w:u w:val="single"/>
        </w:rPr>
        <w:t>Bostrom</w:t>
      </w:r>
      <w:r>
        <w:rPr>
          <w:rFonts w:eastAsia="Calibri"/>
          <w:sz w:val="16"/>
          <w:szCs w:val="16"/>
        </w:rPr>
        <w:t xml:space="preserve"> himself casually </w:t>
      </w:r>
      <w:r>
        <w:rPr>
          <w:rFonts w:eastAsia="Calibri"/>
          <w:sz w:val="14"/>
          <w:szCs w:val="14"/>
        </w:rPr>
        <w:t xml:space="preserve">examines the application of eugenics toward creating “greater-than-currenthuman intelligence” in Superin-telligence.24 He notes that “any attempt to initiate a classical large-scale eugenics program, however, would confront major political and moral hurdles” (36). But this is not a condemnation of such schemes, more an assessment of their inefficiencies and unlikeliness to work. Bostrom does point out that state-run breeding programs might also be used to produce docility and control, but nevertheless concludes his brief analysis of eugenics by noting, “Progress along the biological path is clearly feasible” (44). </w:t>
      </w:r>
      <w:r>
        <w:rPr>
          <w:rFonts w:eastAsia="Calibri"/>
          <w:u w:val="single"/>
        </w:rPr>
        <w:t xml:space="preserve">If the study and mitigation of existential risk were to become what its practitioners envision, then it is difficult to see how these blunt tools would avoid creating new ways of instrumentalizing lives in the service of a future they will never see with their own eyes. </w:t>
      </w:r>
      <w:r>
        <w:rPr>
          <w:rFonts w:eastAsia="Calibri"/>
          <w:highlight w:val="cyan"/>
          <w:u w:val="single"/>
        </w:rPr>
        <w:t xml:space="preserve">The </w:t>
      </w:r>
      <w:r>
        <w:rPr>
          <w:rFonts w:eastAsia="Calibri"/>
          <w:b/>
          <w:bCs/>
          <w:sz w:val="28"/>
          <w:szCs w:val="28"/>
          <w:highlight w:val="cyan"/>
          <w:u w:val="single"/>
        </w:rPr>
        <w:t>tools</w:t>
      </w:r>
      <w:r>
        <w:rPr>
          <w:rFonts w:eastAsia="Calibri"/>
          <w:u w:val="single"/>
        </w:rPr>
        <w:t xml:space="preserve"> of immunity have a tendency to </w:t>
      </w:r>
      <w:r>
        <w:rPr>
          <w:rFonts w:eastAsia="Calibri"/>
          <w:b/>
          <w:bCs/>
          <w:sz w:val="28"/>
          <w:szCs w:val="28"/>
          <w:highlight w:val="cyan"/>
          <w:u w:val="single"/>
        </w:rPr>
        <w:t>attack</w:t>
      </w:r>
      <w:r>
        <w:rPr>
          <w:rFonts w:eastAsia="Calibri"/>
          <w:highlight w:val="cyan"/>
          <w:u w:val="single"/>
        </w:rPr>
        <w:t xml:space="preserve"> what they are supposed to</w:t>
      </w:r>
      <w:r>
        <w:rPr>
          <w:rFonts w:eastAsia="Calibri"/>
          <w:u w:val="single"/>
        </w:rPr>
        <w:t xml:space="preserve"> </w:t>
      </w:r>
      <w:r>
        <w:rPr>
          <w:rFonts w:eastAsia="Calibri"/>
          <w:b/>
          <w:bCs/>
          <w:sz w:val="28"/>
          <w:szCs w:val="28"/>
          <w:highlight w:val="cyan"/>
          <w:u w:val="single"/>
        </w:rPr>
        <w:t>protect</w:t>
      </w:r>
      <w:r>
        <w:rPr>
          <w:rFonts w:eastAsia="Calibri"/>
          <w:u w:val="single"/>
        </w:rPr>
        <w:t>.</w:t>
      </w:r>
    </w:p>
    <w:p w14:paraId="1D8A0AA1" w14:textId="2C934F15" w:rsidR="00B4170C" w:rsidRDefault="00B4170C" w:rsidP="00B4170C">
      <w:pPr>
        <w:pStyle w:val="Heading1"/>
      </w:pPr>
      <w:r>
        <w:lastRenderedPageBreak/>
        <w:t>1NC – SPC CE</w:t>
      </w:r>
    </w:p>
    <w:p w14:paraId="05ABC716" w14:textId="77777777" w:rsidR="00B4170C" w:rsidRDefault="00B4170C" w:rsidP="00B4170C">
      <w:pPr>
        <w:pStyle w:val="Heading2"/>
      </w:pPr>
      <w:r>
        <w:lastRenderedPageBreak/>
        <w:t>OFF</w:t>
      </w:r>
    </w:p>
    <w:p w14:paraId="2A013E68" w14:textId="77777777" w:rsidR="00B4170C" w:rsidRDefault="00B4170C" w:rsidP="00B4170C">
      <w:pPr>
        <w:pStyle w:val="Heading3"/>
      </w:pPr>
      <w:r>
        <w:lastRenderedPageBreak/>
        <w:t>K-Archiving</w:t>
      </w:r>
    </w:p>
    <w:p w14:paraId="0CC3E417" w14:textId="61C3A0DB" w:rsidR="00B4170C" w:rsidRPr="00752776" w:rsidRDefault="00752776" w:rsidP="00B4170C">
      <w:pPr>
        <w:pStyle w:val="Heading4"/>
        <w:rPr>
          <w:rStyle w:val="Style13ptBold"/>
          <w:b/>
          <w:bCs w:val="0"/>
        </w:rPr>
      </w:pPr>
      <w:bookmarkStart w:id="14" w:name="_Hlk209880961"/>
      <w:r>
        <w:rPr>
          <w:rStyle w:val="Style13ptBold"/>
          <w:b/>
        </w:rPr>
        <w:t xml:space="preserve">First </w:t>
      </w:r>
      <w:r w:rsidR="00B4170C" w:rsidRPr="00752776">
        <w:rPr>
          <w:rStyle w:val="Style13ptBold"/>
          <w:b/>
        </w:rPr>
        <w:t>off is archiving.</w:t>
      </w:r>
    </w:p>
    <w:p w14:paraId="521204B2" w14:textId="77777777" w:rsidR="00B4170C" w:rsidRPr="00752776" w:rsidRDefault="00B4170C" w:rsidP="00B4170C">
      <w:pPr>
        <w:pStyle w:val="Heading4"/>
        <w:rPr>
          <w:rStyle w:val="Style13ptBold"/>
          <w:b/>
          <w:bCs w:val="0"/>
        </w:rPr>
      </w:pPr>
      <w:r w:rsidRPr="00752776">
        <w:rPr>
          <w:rStyle w:val="Style13ptBold"/>
          <w:b/>
        </w:rPr>
        <w:t>The archive instates fundamental systems of antiblack and anti-trans violence to maintain the perpetuity of power.</w:t>
      </w:r>
    </w:p>
    <w:p w14:paraId="184AFF4D" w14:textId="77777777" w:rsidR="00B4170C" w:rsidRPr="00E2068E" w:rsidRDefault="00B4170C" w:rsidP="00B4170C">
      <w:pPr>
        <w:rPr>
          <w:rStyle w:val="Style13ptBold"/>
        </w:rPr>
      </w:pPr>
      <w:r>
        <w:rPr>
          <w:rStyle w:val="Style13ptBold"/>
        </w:rPr>
        <w:t>Skjellum-Salmon 24</w:t>
      </w:r>
    </w:p>
    <w:p w14:paraId="1030F043" w14:textId="77777777" w:rsidR="00B4170C" w:rsidRPr="00E2068E" w:rsidRDefault="00B4170C" w:rsidP="00B4170C">
      <w:pPr>
        <w:rPr>
          <w:sz w:val="16"/>
        </w:rPr>
      </w:pPr>
      <w:r w:rsidRPr="00E2068E">
        <w:rPr>
          <w:sz w:val="16"/>
        </w:rPr>
        <w:t xml:space="preserve">(Skjellum-Salmon, Hannah. PhD in English and Comparative Literature from UNC Chapel Hill (conferred Nov. 2024), studying Black and African American LGBTQ literature, archives, history, film, and drag artistry </w:t>
      </w:r>
      <w:r w:rsidRPr="00E2068E">
        <w:rPr>
          <w:i/>
          <w:iCs/>
          <w:sz w:val="16"/>
        </w:rPr>
        <w:t>“Come Into the Black and Live”: Black LGBTQ Resistance to Archival Erasure</w:t>
      </w:r>
      <w:r w:rsidRPr="00E2068E">
        <w:rPr>
          <w:sz w:val="16"/>
        </w:rPr>
        <w:t xml:space="preserve">. Diss. The University of North Carolina at Chapel Hill, 2024. </w:t>
      </w:r>
      <w:hyperlink r:id="rId87" w:history="1">
        <w:r w:rsidRPr="00697199">
          <w:rPr>
            <w:rStyle w:val="Hyperlink"/>
          </w:rPr>
          <w:t>https://www.proquest.com/openview/62273e2af9381bddfc3e543ff25fa7ad/1?pq-origsite=gscholar&amp;cbl=18750&amp;diss=y</w:t>
        </w:r>
      </w:hyperlink>
      <w:r w:rsidRPr="00E2068E">
        <w:rPr>
          <w:sz w:val="16"/>
        </w:rPr>
        <w:t xml:space="preserve"> //Irene)</w:t>
      </w:r>
    </w:p>
    <w:p w14:paraId="407DF229" w14:textId="77777777" w:rsidR="00B4170C" w:rsidRPr="008B7A77" w:rsidRDefault="00B4170C" w:rsidP="00B4170C">
      <w:pPr>
        <w:rPr>
          <w:rStyle w:val="StyleUnderline"/>
        </w:rPr>
      </w:pPr>
      <w:r w:rsidRPr="00C72FDC">
        <w:rPr>
          <w:rStyle w:val="StyleUnderline"/>
        </w:rPr>
        <w:t xml:space="preserve">Targeted </w:t>
      </w:r>
      <w:r w:rsidRPr="008B7A77">
        <w:rPr>
          <w:rStyle w:val="StyleUnderline"/>
          <w:highlight w:val="cyan"/>
        </w:rPr>
        <w:t>book bans</w:t>
      </w:r>
      <w:r w:rsidRPr="00C72FDC">
        <w:rPr>
          <w:rStyle w:val="StyleUnderline"/>
        </w:rPr>
        <w:t xml:space="preserve">, </w:t>
      </w:r>
      <w:r w:rsidRPr="008B7A77">
        <w:rPr>
          <w:rStyle w:val="StyleUnderline"/>
          <w:highlight w:val="cyan"/>
        </w:rPr>
        <w:t>anti</w:t>
      </w:r>
      <w:r w:rsidRPr="00C72FDC">
        <w:rPr>
          <w:rStyle w:val="StyleUnderline"/>
        </w:rPr>
        <w:t>-</w:t>
      </w:r>
      <w:r w:rsidRPr="008B7A77">
        <w:rPr>
          <w:rStyle w:val="StyleUnderline"/>
          <w:highlight w:val="cyan"/>
        </w:rPr>
        <w:t>C</w:t>
      </w:r>
      <w:r w:rsidRPr="00C72FDC">
        <w:rPr>
          <w:rStyle w:val="StyleUnderline"/>
        </w:rPr>
        <w:t xml:space="preserve">ritical </w:t>
      </w:r>
      <w:r w:rsidRPr="008B7A77">
        <w:rPr>
          <w:rStyle w:val="StyleUnderline"/>
          <w:highlight w:val="cyan"/>
        </w:rPr>
        <w:t>R</w:t>
      </w:r>
      <w:r w:rsidRPr="00C72FDC">
        <w:rPr>
          <w:rStyle w:val="StyleUnderline"/>
        </w:rPr>
        <w:t xml:space="preserve">ace </w:t>
      </w:r>
      <w:r w:rsidRPr="008B7A77">
        <w:rPr>
          <w:rStyle w:val="StyleUnderline"/>
          <w:highlight w:val="cyan"/>
        </w:rPr>
        <w:t>T</w:t>
      </w:r>
      <w:r w:rsidRPr="00C72FDC">
        <w:rPr>
          <w:rStyle w:val="StyleUnderline"/>
        </w:rPr>
        <w:t xml:space="preserve">heory political </w:t>
      </w:r>
      <w:r w:rsidRPr="008B7A77">
        <w:rPr>
          <w:rStyle w:val="StyleUnderline"/>
          <w:highlight w:val="cyan"/>
        </w:rPr>
        <w:t>campaigns</w:t>
      </w:r>
      <w:r w:rsidRPr="00C72FDC">
        <w:rPr>
          <w:rStyle w:val="StyleUnderline"/>
        </w:rPr>
        <w:t>, and “Don’t Say Gay”/</w:t>
      </w:r>
      <w:r w:rsidRPr="008B7A77">
        <w:rPr>
          <w:rStyle w:val="StyleUnderline"/>
          <w:highlight w:val="cyan"/>
        </w:rPr>
        <w:t>antitransgender bills: these attacks on Black LGBTQ people</w:t>
      </w:r>
      <w:r w:rsidRPr="008B7A77">
        <w:rPr>
          <w:rStyle w:val="StyleUnderline"/>
        </w:rPr>
        <w:t>’s</w:t>
      </w:r>
      <w:r w:rsidRPr="00C72FDC">
        <w:rPr>
          <w:rStyle w:val="StyleUnderline"/>
        </w:rPr>
        <w:t xml:space="preserve"> voices, histories, and communities</w:t>
      </w:r>
      <w:r w:rsidRPr="008B7A77">
        <w:rPr>
          <w:sz w:val="16"/>
        </w:rPr>
        <w:t xml:space="preserve"> are but some of the </w:t>
      </w:r>
      <w:r w:rsidRPr="008B7A77">
        <w:rPr>
          <w:rStyle w:val="StyleUnderline"/>
          <w:highlight w:val="cyan"/>
        </w:rPr>
        <w:t>modern manifestations o</w:t>
      </w:r>
      <w:r w:rsidRPr="00C72FDC">
        <w:rPr>
          <w:rStyle w:val="StyleUnderline"/>
        </w:rPr>
        <w:t xml:space="preserve">f the </w:t>
      </w:r>
      <w:r w:rsidRPr="008B7A77">
        <w:rPr>
          <w:rStyle w:val="StyleUnderline"/>
          <w:highlight w:val="cyan"/>
        </w:rPr>
        <w:t>U</w:t>
      </w:r>
      <w:r w:rsidRPr="008B7A77">
        <w:rPr>
          <w:rStyle w:val="StyleUnderline"/>
        </w:rPr>
        <w:t>nited</w:t>
      </w:r>
      <w:r w:rsidRPr="008B7A77">
        <w:rPr>
          <w:rStyle w:val="StyleUnderline"/>
          <w:highlight w:val="cyan"/>
        </w:rPr>
        <w:t xml:space="preserve"> S</w:t>
      </w:r>
      <w:r w:rsidRPr="008B7A77">
        <w:rPr>
          <w:rStyle w:val="StyleUnderline"/>
        </w:rPr>
        <w:t xml:space="preserve">tates’ </w:t>
      </w:r>
      <w:r w:rsidRPr="008B7A77">
        <w:rPr>
          <w:rStyle w:val="StyleUnderline"/>
          <w:highlight w:val="cyan"/>
        </w:rPr>
        <w:t>anti-Black and anti-LGBTQ foundations</w:t>
      </w:r>
      <w:r w:rsidRPr="00C72FDC">
        <w:rPr>
          <w:rStyle w:val="StyleUnderline"/>
        </w:rPr>
        <w:t>.</w:t>
      </w:r>
      <w:r w:rsidRPr="008B7A77">
        <w:rPr>
          <w:sz w:val="16"/>
        </w:rPr>
        <w:t xml:space="preserve"> This study argues that </w:t>
      </w:r>
      <w:r w:rsidRPr="008B7A77">
        <w:rPr>
          <w:rStyle w:val="StyleUnderline"/>
          <w:highlight w:val="cyan"/>
        </w:rPr>
        <w:t>historical Black</w:t>
      </w:r>
      <w:r w:rsidRPr="00C72FDC">
        <w:rPr>
          <w:rStyle w:val="StyleUnderline"/>
        </w:rPr>
        <w:t xml:space="preserve"> queer and </w:t>
      </w:r>
      <w:r w:rsidRPr="008B7A77">
        <w:rPr>
          <w:rStyle w:val="StyleUnderline"/>
          <w:highlight w:val="cyan"/>
        </w:rPr>
        <w:t>transgender alienation within</w:t>
      </w:r>
      <w:r w:rsidRPr="00C72FDC">
        <w:rPr>
          <w:rStyle w:val="StyleUnderline"/>
        </w:rPr>
        <w:t xml:space="preserve"> the </w:t>
      </w:r>
      <w:r w:rsidRPr="008B7A77">
        <w:rPr>
          <w:rStyle w:val="StyleUnderline"/>
          <w:highlight w:val="cyan"/>
        </w:rPr>
        <w:t>language, institutions, and</w:t>
      </w:r>
      <w:r w:rsidRPr="00C72FDC">
        <w:rPr>
          <w:rStyle w:val="StyleUnderline"/>
        </w:rPr>
        <w:t xml:space="preserve"> </w:t>
      </w:r>
      <w:r w:rsidRPr="008B7A77">
        <w:rPr>
          <w:rStyle w:val="StyleUnderline"/>
          <w:highlight w:val="cyan"/>
        </w:rPr>
        <w:t>landscapes</w:t>
      </w:r>
      <w:r w:rsidRPr="00C72FDC">
        <w:rPr>
          <w:rStyle w:val="StyleUnderline"/>
        </w:rPr>
        <w:t xml:space="preserve"> of the United </w:t>
      </w:r>
      <w:r w:rsidRPr="008B7A77">
        <w:rPr>
          <w:rStyle w:val="StyleUnderline"/>
        </w:rPr>
        <w:t xml:space="preserve">States </w:t>
      </w:r>
      <w:r w:rsidRPr="008B7A77">
        <w:rPr>
          <w:rStyle w:val="StyleUnderline"/>
          <w:highlight w:val="cyan"/>
        </w:rPr>
        <w:t>is a concentrated effort to maintain a white supremacist, heteronormative archetype</w:t>
      </w:r>
      <w:r w:rsidRPr="00C72FDC">
        <w:rPr>
          <w:rStyle w:val="StyleUnderline"/>
        </w:rPr>
        <w:t xml:space="preserve"> of the American nation and its citizenry.</w:t>
      </w:r>
      <w:r w:rsidRPr="008B7A77">
        <w:rPr>
          <w:sz w:val="16"/>
        </w:rPr>
        <w:t xml:space="preserve"> I suggest that the </w:t>
      </w:r>
      <w:r w:rsidRPr="008B7A77">
        <w:rPr>
          <w:rStyle w:val="StyleUnderline"/>
        </w:rPr>
        <w:t>spatial-</w:t>
      </w:r>
      <w:r w:rsidRPr="008B7A77">
        <w:rPr>
          <w:rStyle w:val="StyleUnderline"/>
          <w:highlight w:val="cyan"/>
        </w:rPr>
        <w:t>historical</w:t>
      </w:r>
      <w:r w:rsidRPr="008B7A77">
        <w:rPr>
          <w:rStyle w:val="StyleUnderline"/>
        </w:rPr>
        <w:t xml:space="preserve"> </w:t>
      </w:r>
      <w:r w:rsidRPr="008B7A77">
        <w:rPr>
          <w:rStyle w:val="StyleUnderline"/>
          <w:highlight w:val="cyan"/>
        </w:rPr>
        <w:t>disenfranchisement of Black LGBTQ people is a</w:t>
      </w:r>
      <w:r w:rsidRPr="008B7A77">
        <w:rPr>
          <w:rStyle w:val="StyleUnderline"/>
        </w:rPr>
        <w:t xml:space="preserve"> multi-</w:t>
      </w:r>
      <w:r w:rsidRPr="008B7A77">
        <w:rPr>
          <w:rStyle w:val="StyleUnderline"/>
          <w:highlight w:val="cyan"/>
        </w:rPr>
        <w:t xml:space="preserve">pronged effort to destroy Black LGBTQ </w:t>
      </w:r>
      <w:r w:rsidRPr="008B7A77">
        <w:rPr>
          <w:rStyle w:val="StyleUnderline"/>
        </w:rPr>
        <w:t xml:space="preserve">voices and </w:t>
      </w:r>
      <w:r w:rsidRPr="008B7A77">
        <w:rPr>
          <w:rStyle w:val="StyleUnderline"/>
          <w:highlight w:val="cyan"/>
        </w:rPr>
        <w:t>histories that</w:t>
      </w:r>
      <w:r w:rsidRPr="008B7A77">
        <w:rPr>
          <w:rStyle w:val="StyleUnderline"/>
        </w:rPr>
        <w:t xml:space="preserve"> would </w:t>
      </w:r>
      <w:r w:rsidRPr="008B7A77">
        <w:rPr>
          <w:rStyle w:val="StyleUnderline"/>
          <w:highlight w:val="cyan"/>
        </w:rPr>
        <w:t>contradict</w:t>
      </w:r>
      <w:r w:rsidRPr="008B7A77">
        <w:rPr>
          <w:rStyle w:val="StyleUnderline"/>
        </w:rPr>
        <w:t xml:space="preserve"> the </w:t>
      </w:r>
      <w:r w:rsidRPr="008B7A77">
        <w:rPr>
          <w:rStyle w:val="StyleUnderline"/>
          <w:highlight w:val="cyan"/>
        </w:rPr>
        <w:t>rhetoric of life</w:t>
      </w:r>
      <w:r w:rsidRPr="008B7A77">
        <w:rPr>
          <w:rStyle w:val="StyleUnderline"/>
        </w:rPr>
        <w:t xml:space="preserve"> and liberty </w:t>
      </w:r>
      <w:r w:rsidRPr="008B7A77">
        <w:rPr>
          <w:rStyle w:val="StyleUnderline"/>
          <w:highlight w:val="cyan"/>
        </w:rPr>
        <w:t>that defines</w:t>
      </w:r>
      <w:r w:rsidRPr="008B7A77">
        <w:rPr>
          <w:rStyle w:val="StyleUnderline"/>
        </w:rPr>
        <w:t xml:space="preserve"> the </w:t>
      </w:r>
      <w:r w:rsidRPr="008B7A77">
        <w:rPr>
          <w:rStyle w:val="StyleUnderline"/>
          <w:highlight w:val="cyan"/>
        </w:rPr>
        <w:t>U</w:t>
      </w:r>
      <w:r w:rsidRPr="008B7A77">
        <w:rPr>
          <w:rStyle w:val="StyleUnderline"/>
        </w:rPr>
        <w:t xml:space="preserve">nited </w:t>
      </w:r>
      <w:r w:rsidRPr="008B7A77">
        <w:rPr>
          <w:rStyle w:val="StyleUnderline"/>
          <w:highlight w:val="cyan"/>
        </w:rPr>
        <w:t>S</w:t>
      </w:r>
      <w:r w:rsidRPr="008B7A77">
        <w:rPr>
          <w:rStyle w:val="StyleUnderline"/>
        </w:rPr>
        <w:t xml:space="preserve">tates’ global </w:t>
      </w:r>
      <w:r w:rsidRPr="008B7A77">
        <w:rPr>
          <w:rStyle w:val="StyleUnderline"/>
          <w:highlight w:val="cyan"/>
        </w:rPr>
        <w:t>persona</w:t>
      </w:r>
      <w:r w:rsidRPr="008B7A77">
        <w:rPr>
          <w:rStyle w:val="StyleUnderline"/>
        </w:rPr>
        <w:t>.</w:t>
      </w:r>
      <w:r w:rsidRPr="008B7A77">
        <w:rPr>
          <w:sz w:val="16"/>
        </w:rPr>
        <w:t xml:space="preserve"> I begin my study by proposing a </w:t>
      </w:r>
      <w:r w:rsidRPr="008B7A77">
        <w:rPr>
          <w:rStyle w:val="StyleUnderline"/>
        </w:rPr>
        <w:t>central engine of the country’s perpetuity, which I call “the archive.” I propose that “</w:t>
      </w:r>
      <w:r w:rsidRPr="008B7A77">
        <w:rPr>
          <w:rStyle w:val="StyleUnderline"/>
          <w:highlight w:val="cyan"/>
        </w:rPr>
        <w:t>the archive” functions to</w:t>
      </w:r>
      <w:r w:rsidRPr="008B7A77">
        <w:rPr>
          <w:rStyle w:val="StyleUnderline"/>
        </w:rPr>
        <w:t xml:space="preserve"> reconstruct and </w:t>
      </w:r>
      <w:r w:rsidRPr="008B7A77">
        <w:rPr>
          <w:rStyle w:val="StyleUnderline"/>
          <w:highlight w:val="cyan"/>
        </w:rPr>
        <w:t>reinforce</w:t>
      </w:r>
      <w:r w:rsidRPr="008B7A77">
        <w:rPr>
          <w:rStyle w:val="StyleUnderline"/>
        </w:rPr>
        <w:t xml:space="preserve"> </w:t>
      </w:r>
      <w:r w:rsidRPr="008B7A77">
        <w:rPr>
          <w:rStyle w:val="StyleUnderline"/>
          <w:highlight w:val="cyan"/>
        </w:rPr>
        <w:t>the U</w:t>
      </w:r>
      <w:r w:rsidRPr="008B7A77">
        <w:rPr>
          <w:rStyle w:val="StyleUnderline"/>
        </w:rPr>
        <w:t xml:space="preserve">nited </w:t>
      </w:r>
      <w:r w:rsidRPr="008B7A77">
        <w:rPr>
          <w:rStyle w:val="StyleUnderline"/>
          <w:highlight w:val="cyan"/>
        </w:rPr>
        <w:t>S</w:t>
      </w:r>
      <w:r w:rsidRPr="008B7A77">
        <w:rPr>
          <w:rStyle w:val="StyleUnderline"/>
        </w:rPr>
        <w:t xml:space="preserve">tates’ </w:t>
      </w:r>
      <w:r w:rsidRPr="008B7A77">
        <w:rPr>
          <w:rStyle w:val="StyleUnderline"/>
          <w:highlight w:val="cyan"/>
        </w:rPr>
        <w:t>power</w:t>
      </w:r>
      <w:r w:rsidRPr="008B7A77">
        <w:rPr>
          <w:rStyle w:val="StyleUnderline"/>
        </w:rPr>
        <w:t xml:space="preserve"> as a nation-state </w:t>
      </w:r>
      <w:r w:rsidRPr="008B7A77">
        <w:rPr>
          <w:rStyle w:val="StyleUnderline"/>
          <w:highlight w:val="cyan"/>
        </w:rPr>
        <w:t>through</w:t>
      </w:r>
      <w:r w:rsidRPr="008B7A77">
        <w:rPr>
          <w:rStyle w:val="StyleUnderline"/>
        </w:rPr>
        <w:t xml:space="preserve"> the constant (re)creation and (</w:t>
      </w:r>
      <w:r w:rsidRPr="008B7A77">
        <w:rPr>
          <w:rStyle w:val="StyleUnderline"/>
          <w:highlight w:val="cyan"/>
        </w:rPr>
        <w:t>re)enforcement of historical narratives</w:t>
      </w:r>
      <w:r w:rsidRPr="008B7A77">
        <w:rPr>
          <w:rStyle w:val="StyleUnderline"/>
        </w:rPr>
        <w:t>, geographic boundaries, and ideologies that maintain the nation’s power.</w:t>
      </w:r>
      <w:r w:rsidRPr="008B7A77">
        <w:rPr>
          <w:sz w:val="16"/>
        </w:rPr>
        <w:t xml:space="preserve"> Central to this study, however, is the conceptualization of the methods by which Black LGBTQ people subvert their erasure by “the archive.” “come into the black and live”: </w:t>
      </w:r>
      <w:r w:rsidRPr="008B7A77">
        <w:rPr>
          <w:rStyle w:val="StyleUnderline"/>
        </w:rPr>
        <w:t xml:space="preserve">Black LGBTQ </w:t>
      </w:r>
      <w:r w:rsidRPr="008B7A77">
        <w:rPr>
          <w:rStyle w:val="StyleUnderline"/>
          <w:highlight w:val="cyan"/>
        </w:rPr>
        <w:t>Resistance to</w:t>
      </w:r>
      <w:r w:rsidRPr="008B7A77">
        <w:rPr>
          <w:rStyle w:val="StyleUnderline"/>
        </w:rPr>
        <w:t xml:space="preserve"> Archival </w:t>
      </w:r>
      <w:r w:rsidRPr="008B7A77">
        <w:rPr>
          <w:rStyle w:val="StyleUnderline"/>
          <w:highlight w:val="cyan"/>
        </w:rPr>
        <w:t>Erasure employs</w:t>
      </w:r>
      <w:r w:rsidRPr="008B7A77">
        <w:rPr>
          <w:rStyle w:val="StyleUnderline"/>
        </w:rPr>
        <w:t xml:space="preserve"> a multi-modal, multi-disciplinary approach to examining the practices of Black queer and transgender </w:t>
      </w:r>
      <w:r w:rsidRPr="008B7A77">
        <w:rPr>
          <w:rStyle w:val="StyleUnderline"/>
          <w:highlight w:val="cyan"/>
        </w:rPr>
        <w:t>insurgent archiving</w:t>
      </w:r>
      <w:r w:rsidRPr="008B7A77">
        <w:rPr>
          <w:rStyle w:val="StyleUnderline"/>
        </w:rPr>
        <w:t xml:space="preserve"> and its ability </w:t>
      </w:r>
      <w:r w:rsidRPr="008B7A77">
        <w:rPr>
          <w:rStyle w:val="StyleUnderline"/>
          <w:highlight w:val="cyan"/>
        </w:rPr>
        <w:t>to refuse destruction</w:t>
      </w:r>
      <w:r w:rsidRPr="008B7A77">
        <w:rPr>
          <w:rStyle w:val="StyleUnderline"/>
        </w:rPr>
        <w:t xml:space="preserve"> by “the archive.”</w:t>
      </w:r>
      <w:r w:rsidRPr="008B7A77">
        <w:rPr>
          <w:sz w:val="16"/>
        </w:rPr>
        <w:t xml:space="preserve"> I contend that, through subversive and performative acts of refusal of “the archive’s” power, </w:t>
      </w:r>
      <w:r w:rsidRPr="008B7A77">
        <w:rPr>
          <w:rStyle w:val="StyleUnderline"/>
        </w:rPr>
        <w:t>Black queer and transgender people are able to embed insurgent archives into the narratives, geographies, and institutions created by “the archive.” These insurgent archives, I argue, preserve Black LGBTQ voices, narratives, and geographies from total destruction.</w:t>
      </w:r>
      <w:r w:rsidRPr="008B7A77">
        <w:rPr>
          <w:sz w:val="16"/>
        </w:rPr>
        <w:t xml:space="preserve"> Analyzing archival material, film, literature, and drag performance, I ultimately propose that these acts of insurgent archiving permit cross-temporal, cross-geographic connections between </w:t>
      </w:r>
      <w:r w:rsidRPr="008B7A77">
        <w:rPr>
          <w:rStyle w:val="StyleUnderline"/>
        </w:rPr>
        <w:t>Black LGBTQ figures and communities. In iv its totality, my study builds upon performative, critical geographical, and critical archival theories to propose how methods of Black LGBTQ self-articulation through insurgent archiving can offer insight into the projects of Black queer futurity.</w:t>
      </w:r>
    </w:p>
    <w:bookmarkEnd w:id="14"/>
    <w:p w14:paraId="3ABFF519" w14:textId="77777777" w:rsidR="00B4170C" w:rsidRPr="00806071" w:rsidRDefault="00B4170C" w:rsidP="00B4170C">
      <w:pPr>
        <w:pStyle w:val="Heading4"/>
      </w:pPr>
      <w:r w:rsidRPr="00806071">
        <w:t xml:space="preserve">State-centered self-determination serves as a </w:t>
      </w:r>
      <w:r w:rsidRPr="00806071">
        <w:rPr>
          <w:u w:val="single"/>
        </w:rPr>
        <w:t>colonial tool</w:t>
      </w:r>
      <w:r w:rsidRPr="00806071">
        <w:t xml:space="preserve">—paternalistic </w:t>
      </w:r>
      <w:r w:rsidRPr="00806071">
        <w:rPr>
          <w:u w:val="single"/>
        </w:rPr>
        <w:t>Arctic policy</w:t>
      </w:r>
      <w:r w:rsidRPr="00806071">
        <w:t xml:space="preserve"> denies </w:t>
      </w:r>
      <w:r w:rsidRPr="00806071">
        <w:rPr>
          <w:u w:val="single"/>
        </w:rPr>
        <w:t>Indigenous agency</w:t>
      </w:r>
      <w:r w:rsidRPr="00806071">
        <w:t xml:space="preserve"> and collapses human security into </w:t>
      </w:r>
      <w:r w:rsidRPr="00806071">
        <w:rPr>
          <w:u w:val="single"/>
        </w:rPr>
        <w:t>statist control</w:t>
      </w:r>
      <w:r w:rsidRPr="00806071">
        <w:t>.</w:t>
      </w:r>
    </w:p>
    <w:p w14:paraId="712A90A1" w14:textId="77777777" w:rsidR="00B4170C" w:rsidRPr="00806071" w:rsidRDefault="00B4170C" w:rsidP="00B4170C">
      <w:pPr>
        <w:rPr>
          <w:b/>
          <w:bCs/>
        </w:rPr>
      </w:pPr>
      <w:r w:rsidRPr="00806071">
        <w:rPr>
          <w:b/>
          <w:bCs/>
        </w:rPr>
        <w:t xml:space="preserve">Cepinskyte, </w:t>
      </w:r>
      <w:r w:rsidRPr="00806071">
        <w:t>International relations PHD researcher with specialty in Arctic Security</w:t>
      </w:r>
      <w:r w:rsidRPr="00806071">
        <w:rPr>
          <w:b/>
          <w:bCs/>
        </w:rPr>
        <w:t>, 2019</w:t>
      </w:r>
    </w:p>
    <w:p w14:paraId="08FB5472" w14:textId="77777777" w:rsidR="00B4170C" w:rsidRPr="00806071" w:rsidRDefault="00B4170C" w:rsidP="00B4170C">
      <w:pPr>
        <w:rPr>
          <w:b/>
          <w:bCs/>
          <w:sz w:val="26"/>
          <w:szCs w:val="26"/>
        </w:rPr>
      </w:pPr>
      <w:r w:rsidRPr="00806071">
        <w:t>[Agne, “Security of Indigenous peoples in Russia’s Arctic policy: Exposing the oxymoron of state-determined self-determination”, Arctic Yearbook, https://arcticyearbook.com/images/yearbook/2019/Scholarly-Papers/14_AY2019_Cepinskyte.pdf, July 10 2025 – DShao]</w:t>
      </w:r>
    </w:p>
    <w:p w14:paraId="2CE358E1" w14:textId="77777777" w:rsidR="00B4170C" w:rsidRPr="00806071" w:rsidRDefault="00B4170C" w:rsidP="00B4170C">
      <w:r w:rsidRPr="00806071">
        <w:t xml:space="preserve">As argued in the first section of this article, </w:t>
      </w:r>
      <w:r w:rsidRPr="00BD000C">
        <w:rPr>
          <w:u w:val="single"/>
        </w:rPr>
        <w:t xml:space="preserve">this </w:t>
      </w:r>
      <w:r w:rsidRPr="00806071">
        <w:rPr>
          <w:highlight w:val="cyan"/>
          <w:u w:val="single"/>
        </w:rPr>
        <w:t xml:space="preserve">policy </w:t>
      </w:r>
      <w:r w:rsidRPr="00BD000C">
        <w:rPr>
          <w:u w:val="single"/>
        </w:rPr>
        <w:t xml:space="preserve">is </w:t>
      </w:r>
      <w:r w:rsidRPr="00806071">
        <w:rPr>
          <w:highlight w:val="cyan"/>
          <w:u w:val="single"/>
        </w:rPr>
        <w:t xml:space="preserve">rooted in </w:t>
      </w:r>
      <w:r w:rsidRPr="00BD000C">
        <w:rPr>
          <w:u w:val="single"/>
        </w:rPr>
        <w:t xml:space="preserve">the </w:t>
      </w:r>
      <w:r w:rsidRPr="00806071">
        <w:rPr>
          <w:highlight w:val="cyan"/>
          <w:u w:val="single"/>
        </w:rPr>
        <w:t xml:space="preserve">understanding of the state as </w:t>
      </w:r>
      <w:r w:rsidRPr="00BD000C">
        <w:rPr>
          <w:u w:val="single"/>
        </w:rPr>
        <w:t xml:space="preserve">the </w:t>
      </w:r>
      <w:r w:rsidRPr="00806071">
        <w:rPr>
          <w:highlight w:val="cyan"/>
          <w:u w:val="single"/>
        </w:rPr>
        <w:t xml:space="preserve">sole guarantor </w:t>
      </w:r>
      <w:r w:rsidRPr="00BD000C">
        <w:rPr>
          <w:u w:val="single"/>
        </w:rPr>
        <w:t xml:space="preserve">of its people’s </w:t>
      </w:r>
      <w:r w:rsidRPr="00806071">
        <w:rPr>
          <w:highlight w:val="cyan"/>
          <w:u w:val="single"/>
        </w:rPr>
        <w:t xml:space="preserve">rights </w:t>
      </w:r>
      <w:r w:rsidRPr="00BD000C">
        <w:rPr>
          <w:u w:val="single"/>
        </w:rPr>
        <w:t>and security, which is characteristic of states whose governments dominate society</w:t>
      </w:r>
      <w:r w:rsidRPr="00806071">
        <w:rPr>
          <w:u w:val="single"/>
        </w:rPr>
        <w:t xml:space="preserve"> (state-nations)</w:t>
      </w:r>
      <w:r w:rsidRPr="00806071">
        <w:t xml:space="preserve">. It is consistent with Russia’s ‘idea of the state’ as </w:t>
      </w:r>
      <w:r w:rsidRPr="00806071">
        <w:rPr>
          <w:u w:val="single"/>
        </w:rPr>
        <w:t xml:space="preserve">an authoritative political structure responsible for the protection of its subordinate society’s security and well-being. Such a top-down approach leads to </w:t>
      </w:r>
      <w:r w:rsidRPr="00BD000C">
        <w:rPr>
          <w:u w:val="single"/>
        </w:rPr>
        <w:t xml:space="preserve">the </w:t>
      </w:r>
      <w:r w:rsidRPr="00806071">
        <w:rPr>
          <w:highlight w:val="cyan"/>
          <w:u w:val="single"/>
        </w:rPr>
        <w:t>oxymoron of state-determined self-determination of Indigenous peoples – a denial of this right as inherent in peoples</w:t>
      </w:r>
      <w:r w:rsidRPr="00806071">
        <w:rPr>
          <w:u w:val="single"/>
        </w:rPr>
        <w:t xml:space="preserve">. As </w:t>
      </w:r>
      <w:r w:rsidRPr="00806071">
        <w:rPr>
          <w:highlight w:val="cyan"/>
          <w:u w:val="single"/>
        </w:rPr>
        <w:t xml:space="preserve">the two notions contradict </w:t>
      </w:r>
      <w:r w:rsidRPr="00806071">
        <w:rPr>
          <w:u w:val="single"/>
        </w:rPr>
        <w:t>one another,</w:t>
      </w:r>
      <w:r w:rsidRPr="00806071">
        <w:t xml:space="preserve"> the Russian government does not recognise the Indigenous right to self-determination altogether: the word does not appear in Russian political discourse and legislation. State authorities </w:t>
      </w:r>
      <w:r w:rsidRPr="00806071">
        <w:lastRenderedPageBreak/>
        <w:t>associate the concept of self-determination with separatism and extremism and consider it as a potential threat to state sovereignty (IWGIA, 2014: 16; Vladimirova, 2015).</w:t>
      </w:r>
      <w:r w:rsidRPr="00806071">
        <w:rPr>
          <w:highlight w:val="cyan"/>
        </w:rPr>
        <w:t xml:space="preserve"> </w:t>
      </w:r>
      <w:r w:rsidRPr="00806071">
        <w:rPr>
          <w:highlight w:val="cyan"/>
          <w:u w:val="single"/>
        </w:rPr>
        <w:t xml:space="preserve">By rejecting </w:t>
      </w:r>
      <w:r w:rsidRPr="00806071">
        <w:rPr>
          <w:u w:val="single"/>
        </w:rPr>
        <w:t xml:space="preserve">the Indigenous right to </w:t>
      </w:r>
      <w:r w:rsidRPr="00806071">
        <w:rPr>
          <w:highlight w:val="cyan"/>
          <w:u w:val="single"/>
        </w:rPr>
        <w:t xml:space="preserve">self-determination the government suppresses the bottom-up developments in society, </w:t>
      </w:r>
      <w:r w:rsidRPr="00806071">
        <w:rPr>
          <w:u w:val="single"/>
        </w:rPr>
        <w:t xml:space="preserve">thereby </w:t>
      </w:r>
      <w:r w:rsidRPr="00806071">
        <w:rPr>
          <w:highlight w:val="cyan"/>
          <w:u w:val="single"/>
        </w:rPr>
        <w:t xml:space="preserve">depriving Indigenous peoples of the ability to freely determine their political, social and economic affairs and </w:t>
      </w:r>
      <w:r w:rsidRPr="00806071">
        <w:rPr>
          <w:b/>
          <w:bCs/>
          <w:highlight w:val="cyan"/>
          <w:u w:val="single"/>
        </w:rPr>
        <w:t>compelling them to entirely depend on the state</w:t>
      </w:r>
      <w:r w:rsidRPr="00806071">
        <w:t xml:space="preserve"> (IWGIA, 2014: 16; Gosart, 2017: 200).</w:t>
      </w:r>
    </w:p>
    <w:p w14:paraId="28D583CF" w14:textId="77777777" w:rsidR="00B4170C" w:rsidRPr="00A62FAC" w:rsidRDefault="00B4170C" w:rsidP="00B4170C">
      <w:pPr>
        <w:pStyle w:val="Heading4"/>
        <w:rPr>
          <w:rStyle w:val="Style13ptBold"/>
          <w:b/>
          <w:bCs w:val="0"/>
        </w:rPr>
      </w:pPr>
      <w:bookmarkStart w:id="15" w:name="_Hlk213500527"/>
      <w:r>
        <w:rPr>
          <w:rStyle w:val="Style13ptBold"/>
        </w:rPr>
        <w:t>Their rhetoric of federal superiority is nationalist framing black transgender people as foreign terrorists attacking the sovereignty of the nation.</w:t>
      </w:r>
    </w:p>
    <w:p w14:paraId="222E6E66" w14:textId="77777777" w:rsidR="00B4170C" w:rsidRDefault="00B4170C" w:rsidP="00B4170C">
      <w:pPr>
        <w:rPr>
          <w:sz w:val="16"/>
        </w:rPr>
      </w:pPr>
      <w:r>
        <w:rPr>
          <w:rStyle w:val="Style13ptBold"/>
        </w:rPr>
        <w:t xml:space="preserve">Skjellum-Salmon 24 </w:t>
      </w:r>
      <w:r w:rsidRPr="00E2068E">
        <w:rPr>
          <w:sz w:val="16"/>
        </w:rPr>
        <w:t xml:space="preserve">Skjellum-Salmon, Hannah. PhD in English and Comparative Literature from UNC Chapel Hill (conferred Nov. 2024), studying Black and African American LGBTQ literature, archives, history, film, and drag artistry </w:t>
      </w:r>
      <w:r w:rsidRPr="00E2068E">
        <w:rPr>
          <w:i/>
          <w:iCs/>
          <w:sz w:val="16"/>
        </w:rPr>
        <w:t>“Come Into the Black and Live”: Black LGBTQ Resistance to Archival Erasure</w:t>
      </w:r>
      <w:r w:rsidRPr="00E2068E">
        <w:rPr>
          <w:sz w:val="16"/>
        </w:rPr>
        <w:t xml:space="preserve">. Diss. The University of North Carolina at Chapel Hill, 2024. </w:t>
      </w:r>
      <w:hyperlink r:id="rId88" w:history="1">
        <w:r w:rsidRPr="00697199">
          <w:rPr>
            <w:rStyle w:val="Hyperlink"/>
          </w:rPr>
          <w:t>https://www.proquest.com/openview/62273e2af9381bddfc3e543ff25fa7ad/1?pq-origsite=gscholar&amp;cbl=18750&amp;diss=y</w:t>
        </w:r>
      </w:hyperlink>
      <w:r>
        <w:rPr>
          <w:sz w:val="16"/>
        </w:rPr>
        <w:t xml:space="preserve"> </w:t>
      </w:r>
      <w:r w:rsidRPr="00E2068E">
        <w:rPr>
          <w:sz w:val="16"/>
        </w:rPr>
        <w:t>//Irene</w:t>
      </w:r>
    </w:p>
    <w:p w14:paraId="6A4DFC7E" w14:textId="77777777" w:rsidR="00B4170C" w:rsidRPr="0087620C" w:rsidRDefault="00B4170C" w:rsidP="00B4170C">
      <w:pPr>
        <w:rPr>
          <w:rStyle w:val="StyleUnderline"/>
        </w:rPr>
      </w:pPr>
      <w:r w:rsidRPr="0087620C">
        <w:rPr>
          <w:rStyle w:val="StyleUnderline"/>
        </w:rPr>
        <w:t xml:space="preserve">The </w:t>
      </w:r>
      <w:r w:rsidRPr="00CA6722">
        <w:rPr>
          <w:rStyle w:val="StyleUnderline"/>
          <w:highlight w:val="cyan"/>
        </w:rPr>
        <w:t>national scale at which Black LGBTQ</w:t>
      </w:r>
      <w:r w:rsidRPr="0087620C">
        <w:rPr>
          <w:rStyle w:val="StyleUnderline"/>
        </w:rPr>
        <w:t xml:space="preserve"> people are </w:t>
      </w:r>
      <w:r w:rsidRPr="00CA6722">
        <w:rPr>
          <w:rStyle w:val="StyleUnderline"/>
          <w:highlight w:val="cyan"/>
        </w:rPr>
        <w:t>threatened with erasure</w:t>
      </w:r>
      <w:r w:rsidRPr="0087620C">
        <w:rPr>
          <w:rStyle w:val="StyleUnderline"/>
        </w:rPr>
        <w:t xml:space="preserve"> and violence is not only evocative of our current moment of anti-Black, homophobic, and transphobic terror, but also the histories from which these terroristic acts stem. “</w:t>
      </w:r>
      <w:r w:rsidRPr="00CA6722">
        <w:rPr>
          <w:rStyle w:val="StyleUnderline"/>
          <w:highlight w:val="cyan"/>
        </w:rPr>
        <w:t>Nationalist rhetorics,”</w:t>
      </w:r>
      <w:r w:rsidRPr="0087620C">
        <w:rPr>
          <w:rStyle w:val="StyleUnderline"/>
        </w:rPr>
        <w:t xml:space="preserve"> Allen states, “…</w:t>
      </w:r>
      <w:r w:rsidRPr="00CA6722">
        <w:rPr>
          <w:rStyle w:val="StyleUnderline"/>
          <w:highlight w:val="cyan"/>
        </w:rPr>
        <w:t>cast</w:t>
      </w:r>
      <w:r w:rsidRPr="0087620C">
        <w:rPr>
          <w:rStyle w:val="StyleUnderline"/>
        </w:rPr>
        <w:t xml:space="preserve"> lesbian, bisexual, gay, </w:t>
      </w:r>
      <w:r w:rsidRPr="00CA6722">
        <w:rPr>
          <w:rStyle w:val="StyleUnderline"/>
        </w:rPr>
        <w:t xml:space="preserve">and </w:t>
      </w:r>
      <w:r w:rsidRPr="00CA6722">
        <w:rPr>
          <w:rStyle w:val="StyleUnderline"/>
          <w:highlight w:val="cyan"/>
        </w:rPr>
        <w:t>transgender rights and recognition as foreign attacks on</w:t>
      </w:r>
      <w:r w:rsidRPr="0087620C">
        <w:rPr>
          <w:rStyle w:val="StyleUnderline"/>
        </w:rPr>
        <w:t xml:space="preserve"> tradition or </w:t>
      </w:r>
      <w:r w:rsidRPr="00CA6722">
        <w:rPr>
          <w:rStyle w:val="StyleUnderline"/>
          <w:highlight w:val="cyan"/>
        </w:rPr>
        <w:t>sovereignty</w:t>
      </w:r>
      <w:r w:rsidRPr="0087620C">
        <w:rPr>
          <w:rStyle w:val="StyleUnderline"/>
        </w:rPr>
        <w:t>”</w:t>
      </w:r>
      <w:r w:rsidRPr="00142D94">
        <w:rPr>
          <w:sz w:val="16"/>
        </w:rPr>
        <w:t xml:space="preserve"> (ix). These </w:t>
      </w:r>
      <w:r w:rsidRPr="00CA6722">
        <w:rPr>
          <w:rStyle w:val="StyleUnderline"/>
          <w:highlight w:val="cyan"/>
        </w:rPr>
        <w:t>rhetorics</w:t>
      </w:r>
      <w:r w:rsidRPr="0087620C">
        <w:rPr>
          <w:rStyle w:val="StyleUnderline"/>
        </w:rPr>
        <w:t xml:space="preserve">, as Allen describes them, </w:t>
      </w:r>
      <w:r w:rsidRPr="00CA6722">
        <w:rPr>
          <w:rStyle w:val="StyleUnderline"/>
          <w:highlight w:val="cyan"/>
        </w:rPr>
        <w:t>depict Black</w:t>
      </w:r>
      <w:r w:rsidRPr="0087620C">
        <w:rPr>
          <w:rStyle w:val="StyleUnderline"/>
        </w:rPr>
        <w:t xml:space="preserve"> queer and </w:t>
      </w:r>
      <w:r w:rsidRPr="00CA6722">
        <w:rPr>
          <w:rStyle w:val="StyleUnderline"/>
          <w:highlight w:val="cyan"/>
        </w:rPr>
        <w:t>transgender people as</w:t>
      </w:r>
      <w:r w:rsidRPr="0087620C">
        <w:rPr>
          <w:rStyle w:val="StyleUnderline"/>
        </w:rPr>
        <w:t xml:space="preserve"> “other,” as “</w:t>
      </w:r>
      <w:r w:rsidRPr="00CA6722">
        <w:rPr>
          <w:rStyle w:val="StyleUnderline"/>
          <w:highlight w:val="cyan"/>
        </w:rPr>
        <w:t>alien” to</w:t>
      </w:r>
      <w:r w:rsidRPr="0087620C">
        <w:rPr>
          <w:rStyle w:val="StyleUnderline"/>
        </w:rPr>
        <w:t xml:space="preserve"> foundational concepts such as “tradition” and “</w:t>
      </w:r>
      <w:r w:rsidRPr="00CA6722">
        <w:rPr>
          <w:rStyle w:val="StyleUnderline"/>
          <w:highlight w:val="cyan"/>
        </w:rPr>
        <w:t>citizenship</w:t>
      </w:r>
      <w:r w:rsidRPr="0087620C">
        <w:rPr>
          <w:rStyle w:val="StyleUnderline"/>
        </w:rPr>
        <w:t>.”</w:t>
      </w:r>
      <w:r w:rsidRPr="00142D94">
        <w:rPr>
          <w:sz w:val="16"/>
        </w:rPr>
        <w:t xml:space="preserve"> By virtue of their very existence, </w:t>
      </w:r>
      <w:r w:rsidRPr="00CA6722">
        <w:rPr>
          <w:rStyle w:val="StyleUnderline"/>
          <w:highlight w:val="cyan"/>
        </w:rPr>
        <w:t>Black</w:t>
      </w:r>
      <w:r w:rsidRPr="0087620C">
        <w:rPr>
          <w:rStyle w:val="StyleUnderline"/>
        </w:rPr>
        <w:t xml:space="preserve"> queer and </w:t>
      </w:r>
      <w:r w:rsidRPr="00CA6722">
        <w:rPr>
          <w:rStyle w:val="StyleUnderline"/>
          <w:highlight w:val="cyan"/>
        </w:rPr>
        <w:t>transgender people</w:t>
      </w:r>
      <w:r w:rsidRPr="0087620C">
        <w:rPr>
          <w:rStyle w:val="StyleUnderline"/>
        </w:rPr>
        <w:t xml:space="preserve"> have </w:t>
      </w:r>
      <w:r w:rsidRPr="00CA6722">
        <w:rPr>
          <w:rStyle w:val="StyleUnderline"/>
          <w:highlight w:val="cyan"/>
        </w:rPr>
        <w:t xml:space="preserve">historically represented </w:t>
      </w:r>
      <w:r w:rsidRPr="00CA6722">
        <w:rPr>
          <w:rStyle w:val="StyleUnderline"/>
        </w:rPr>
        <w:t xml:space="preserve">a </w:t>
      </w:r>
      <w:r w:rsidRPr="00CA6722">
        <w:rPr>
          <w:rStyle w:val="StyleUnderline"/>
          <w:highlight w:val="cyan"/>
        </w:rPr>
        <w:t xml:space="preserve">disturbance of </w:t>
      </w:r>
      <w:r w:rsidRPr="00CA6722">
        <w:rPr>
          <w:rStyle w:val="StyleUnderline"/>
        </w:rPr>
        <w:t xml:space="preserve">the </w:t>
      </w:r>
      <w:r w:rsidRPr="00CA6722">
        <w:rPr>
          <w:rStyle w:val="StyleUnderline"/>
          <w:highlight w:val="cyan"/>
        </w:rPr>
        <w:t xml:space="preserve">“order of things” in </w:t>
      </w:r>
      <w:r w:rsidRPr="00CA6722">
        <w:rPr>
          <w:rStyle w:val="StyleUnderline"/>
        </w:rPr>
        <w:t>the</w:t>
      </w:r>
      <w:r w:rsidRPr="0087620C">
        <w:rPr>
          <w:rStyle w:val="StyleUnderline"/>
        </w:rPr>
        <w:t xml:space="preserve"> </w:t>
      </w:r>
      <w:r w:rsidRPr="00CA6722">
        <w:rPr>
          <w:rStyle w:val="StyleUnderline"/>
          <w:highlight w:val="cyan"/>
        </w:rPr>
        <w:t>U</w:t>
      </w:r>
      <w:r w:rsidRPr="0087620C">
        <w:rPr>
          <w:rStyle w:val="StyleUnderline"/>
        </w:rPr>
        <w:t xml:space="preserve">nited </w:t>
      </w:r>
      <w:r w:rsidRPr="00CA6722">
        <w:rPr>
          <w:rStyle w:val="StyleUnderline"/>
          <w:highlight w:val="cyan"/>
        </w:rPr>
        <w:t>S</w:t>
      </w:r>
      <w:r w:rsidRPr="0087620C">
        <w:rPr>
          <w:rStyle w:val="StyleUnderline"/>
        </w:rPr>
        <w:t>tates.</w:t>
      </w:r>
      <w:r w:rsidRPr="00142D94">
        <w:rPr>
          <w:sz w:val="16"/>
        </w:rPr>
        <w:t xml:space="preserve"> Michel Foucault’s conceptualization of order, introduced in The Order of Things: An Archaeology of the Human Sciences (1970), unveils the architecture of a “hidden network” that determines the very “codes of a culture” which in turn decide the “language…schema of perception… techniques… values, [and] hierarchy of…practices.” Order, as Foucault theorizes, is “that which is given in things as their inner law” (xx). </w:t>
      </w:r>
      <w:r w:rsidRPr="00CA6722">
        <w:rPr>
          <w:rStyle w:val="StyleUnderline"/>
          <w:highlight w:val="cyan"/>
        </w:rPr>
        <w:t>In</w:t>
      </w:r>
      <w:r w:rsidRPr="0087620C">
        <w:rPr>
          <w:rStyle w:val="StyleUnderline"/>
        </w:rPr>
        <w:t xml:space="preserve"> the </w:t>
      </w:r>
      <w:r w:rsidRPr="00CA6722">
        <w:rPr>
          <w:rStyle w:val="StyleUnderline"/>
          <w:highlight w:val="cyan"/>
        </w:rPr>
        <w:t>U</w:t>
      </w:r>
      <w:r w:rsidRPr="0087620C">
        <w:rPr>
          <w:rStyle w:val="StyleUnderline"/>
        </w:rPr>
        <w:t xml:space="preserve">nited </w:t>
      </w:r>
      <w:r w:rsidRPr="00CA6722">
        <w:rPr>
          <w:rStyle w:val="StyleUnderline"/>
          <w:highlight w:val="cyan"/>
        </w:rPr>
        <w:t>S</w:t>
      </w:r>
      <w:r w:rsidRPr="0087620C">
        <w:rPr>
          <w:rStyle w:val="StyleUnderline"/>
        </w:rPr>
        <w:t xml:space="preserve">tates, I contend that </w:t>
      </w:r>
      <w:r w:rsidRPr="00CA6722">
        <w:rPr>
          <w:rStyle w:val="StyleUnderline"/>
        </w:rPr>
        <w:t xml:space="preserve">the </w:t>
      </w:r>
      <w:r w:rsidRPr="00CA6722">
        <w:rPr>
          <w:rStyle w:val="StyleUnderline"/>
          <w:highlight w:val="cyan"/>
        </w:rPr>
        <w:t>foundations of its order</w:t>
      </w:r>
      <w:r w:rsidRPr="0087620C">
        <w:rPr>
          <w:rStyle w:val="StyleUnderline"/>
        </w:rPr>
        <w:t xml:space="preserve"> are, in part, </w:t>
      </w:r>
      <w:r w:rsidRPr="00CA6722">
        <w:rPr>
          <w:rStyle w:val="StyleUnderline"/>
          <w:highlight w:val="cyan"/>
        </w:rPr>
        <w:t>built upon anti-Blackness</w:t>
      </w:r>
      <w:r w:rsidRPr="0087620C">
        <w:rPr>
          <w:rStyle w:val="StyleUnderline"/>
        </w:rPr>
        <w:t xml:space="preserve">, homophobia, </w:t>
      </w:r>
      <w:r w:rsidRPr="00CA6722">
        <w:rPr>
          <w:rStyle w:val="StyleUnderline"/>
          <w:highlight w:val="cyan"/>
        </w:rPr>
        <w:t>and transphobia</w:t>
      </w:r>
      <w:r w:rsidRPr="0087620C">
        <w:rPr>
          <w:rStyle w:val="StyleUnderline"/>
        </w:rPr>
        <w:t xml:space="preserve">, ideologies </w:t>
      </w:r>
      <w:r w:rsidRPr="00CA6722">
        <w:rPr>
          <w:rStyle w:val="StyleUnderline"/>
          <w:highlight w:val="cyan"/>
        </w:rPr>
        <w:t>borne of</w:t>
      </w:r>
      <w:r w:rsidRPr="0087620C">
        <w:rPr>
          <w:rStyle w:val="StyleUnderline"/>
        </w:rPr>
        <w:t xml:space="preserve"> the institutions of </w:t>
      </w:r>
      <w:r w:rsidRPr="00CA6722">
        <w:rPr>
          <w:rStyle w:val="StyleUnderline"/>
          <w:highlight w:val="cyan"/>
        </w:rPr>
        <w:t>slavery and imperialism</w:t>
      </w:r>
      <w:r w:rsidRPr="0087620C">
        <w:rPr>
          <w:rStyle w:val="StyleUnderline"/>
        </w:rPr>
        <w:t>.</w:t>
      </w:r>
    </w:p>
    <w:p w14:paraId="4CDC6BE1" w14:textId="77777777" w:rsidR="00B4170C" w:rsidRPr="0087620C" w:rsidRDefault="00B4170C" w:rsidP="00B4170C">
      <w:pPr>
        <w:rPr>
          <w:rStyle w:val="StyleUnderline"/>
        </w:rPr>
      </w:pPr>
      <w:r w:rsidRPr="0087620C">
        <w:rPr>
          <w:rStyle w:val="StyleUnderline"/>
        </w:rPr>
        <w:t xml:space="preserve">For decades, feminist theorists have broken down the shape of </w:t>
      </w:r>
      <w:r w:rsidRPr="00CA6722">
        <w:rPr>
          <w:rStyle w:val="StyleUnderline"/>
        </w:rPr>
        <w:t>the</w:t>
      </w:r>
      <w:r w:rsidRPr="0087620C">
        <w:rPr>
          <w:rStyle w:val="StyleUnderline"/>
        </w:rPr>
        <w:t xml:space="preserve"> </w:t>
      </w:r>
      <w:r w:rsidRPr="00CA6722">
        <w:rPr>
          <w:rStyle w:val="StyleUnderline"/>
          <w:highlight w:val="cyan"/>
        </w:rPr>
        <w:t>nation-state’s “order of things</w:t>
      </w:r>
      <w:r w:rsidRPr="0087620C">
        <w:rPr>
          <w:rStyle w:val="StyleUnderline"/>
        </w:rPr>
        <w:t xml:space="preserve">,” demonstrating its </w:t>
      </w:r>
      <w:r w:rsidRPr="00CA6722">
        <w:rPr>
          <w:rStyle w:val="StyleUnderline"/>
          <w:highlight w:val="cyan"/>
        </w:rPr>
        <w:t>dependence on</w:t>
      </w:r>
      <w:r w:rsidRPr="0087620C">
        <w:rPr>
          <w:rStyle w:val="StyleUnderline"/>
        </w:rPr>
        <w:t xml:space="preserve"> and </w:t>
      </w:r>
      <w:r w:rsidRPr="00CA6722">
        <w:rPr>
          <w:rStyle w:val="StyleUnderline"/>
          <w:highlight w:val="cyan"/>
        </w:rPr>
        <w:t>proliferation of</w:t>
      </w:r>
      <w:r w:rsidRPr="0087620C">
        <w:rPr>
          <w:rStyle w:val="StyleUnderline"/>
        </w:rPr>
        <w:t xml:space="preserve"> a </w:t>
      </w:r>
      <w:r w:rsidRPr="00CA6722">
        <w:rPr>
          <w:rStyle w:val="StyleUnderline"/>
          <w:highlight w:val="cyan"/>
        </w:rPr>
        <w:t>white supremacist, homophobic</w:t>
      </w:r>
      <w:r w:rsidRPr="0087620C">
        <w:rPr>
          <w:rStyle w:val="StyleUnderline"/>
        </w:rPr>
        <w:t xml:space="preserve"> </w:t>
      </w:r>
      <w:r w:rsidRPr="00CA6722">
        <w:rPr>
          <w:rStyle w:val="StyleUnderline"/>
          <w:highlight w:val="cyan"/>
        </w:rPr>
        <w:t>misogyny</w:t>
      </w:r>
      <w:r w:rsidRPr="0087620C">
        <w:rPr>
          <w:rStyle w:val="StyleUnderline"/>
        </w:rPr>
        <w:t>.</w:t>
      </w:r>
      <w:r w:rsidRPr="00142D94">
        <w:rPr>
          <w:sz w:val="16"/>
        </w:rPr>
        <w:t xml:space="preserve"> In her 1977 essay “Poetry is Not a Luxury,” </w:t>
      </w:r>
      <w:r w:rsidRPr="0087620C">
        <w:rPr>
          <w:rStyle w:val="StyleUnderline"/>
        </w:rPr>
        <w:t>Audre Lorde critiques the United States’ oppressive “order of things” by identifying it as founded upon a “european [sic] mode of living” (37). In this “mode of living,” Lorde writes, “Women see ourselves diminished or softened by the falsely benign accusations of childishness, of nonuniversality, of changeability, of sensuality.”</w:t>
      </w:r>
      <w:r w:rsidRPr="00142D94">
        <w:rPr>
          <w:sz w:val="16"/>
        </w:rPr>
        <w:t xml:space="preserve"> Women, and especially </w:t>
      </w:r>
      <w:r w:rsidRPr="00CA6722">
        <w:rPr>
          <w:rStyle w:val="StyleUnderline"/>
          <w:highlight w:val="cyan"/>
        </w:rPr>
        <w:t>Black queer women</w:t>
      </w:r>
      <w:r w:rsidRPr="0087620C">
        <w:rPr>
          <w:rStyle w:val="StyleUnderline"/>
        </w:rPr>
        <w:t xml:space="preserve">, are </w:t>
      </w:r>
      <w:r w:rsidRPr="00CA6722">
        <w:rPr>
          <w:rStyle w:val="StyleUnderline"/>
          <w:highlight w:val="cyan"/>
        </w:rPr>
        <w:t>told that only</w:t>
      </w:r>
      <w:r w:rsidRPr="0087620C">
        <w:rPr>
          <w:rStyle w:val="StyleUnderline"/>
        </w:rPr>
        <w:t xml:space="preserve"> a </w:t>
      </w:r>
      <w:r w:rsidRPr="00CA6722">
        <w:rPr>
          <w:rStyle w:val="StyleUnderline"/>
          <w:highlight w:val="cyan"/>
        </w:rPr>
        <w:t>Cartesian dualist mindset</w:t>
      </w:r>
      <w:r w:rsidRPr="0087620C">
        <w:rPr>
          <w:rStyle w:val="StyleUnderline"/>
        </w:rPr>
        <w:t xml:space="preserve"> is </w:t>
      </w:r>
      <w:r w:rsidRPr="00CA6722">
        <w:rPr>
          <w:rStyle w:val="StyleUnderline"/>
          <w:highlight w:val="cyan"/>
        </w:rPr>
        <w:t xml:space="preserve">acceptable when expressing </w:t>
      </w:r>
      <w:r w:rsidRPr="00CA6722">
        <w:rPr>
          <w:rStyle w:val="StyleUnderline"/>
        </w:rPr>
        <w:t xml:space="preserve">their </w:t>
      </w:r>
      <w:r w:rsidRPr="00CA6722">
        <w:rPr>
          <w:rStyle w:val="StyleUnderline"/>
          <w:highlight w:val="cyan"/>
        </w:rPr>
        <w:t>feelings</w:t>
      </w:r>
      <w:r w:rsidRPr="0087620C">
        <w:rPr>
          <w:rStyle w:val="StyleUnderline"/>
        </w:rPr>
        <w:t xml:space="preserve"> and experiences: “The white fathers told us: I think, therefore I am” (38). The “</w:t>
      </w:r>
      <w:r w:rsidRPr="00CA6722">
        <w:rPr>
          <w:rStyle w:val="StyleUnderline"/>
          <w:highlight w:val="cyan"/>
        </w:rPr>
        <w:t>white fathers</w:t>
      </w:r>
      <w:r w:rsidRPr="0087620C">
        <w:rPr>
          <w:rStyle w:val="StyleUnderline"/>
        </w:rPr>
        <w:t xml:space="preserve">” who </w:t>
      </w:r>
      <w:r w:rsidRPr="00CA6722">
        <w:rPr>
          <w:rStyle w:val="StyleUnderline"/>
          <w:highlight w:val="cyan"/>
        </w:rPr>
        <w:t>dictated</w:t>
      </w:r>
      <w:r w:rsidRPr="0087620C">
        <w:rPr>
          <w:rStyle w:val="StyleUnderline"/>
        </w:rPr>
        <w:t xml:space="preserve"> the </w:t>
      </w:r>
      <w:r w:rsidRPr="00CA6722">
        <w:rPr>
          <w:rStyle w:val="StyleUnderline"/>
          <w:highlight w:val="cyan"/>
        </w:rPr>
        <w:t>mind-body split</w:t>
      </w:r>
      <w:r w:rsidRPr="0087620C">
        <w:rPr>
          <w:rStyle w:val="StyleUnderline"/>
        </w:rPr>
        <w:t xml:space="preserve"> also </w:t>
      </w:r>
      <w:r w:rsidRPr="00CA6722">
        <w:rPr>
          <w:rStyle w:val="StyleUnderline"/>
          <w:highlight w:val="cyan"/>
        </w:rPr>
        <w:t>constructed</w:t>
      </w:r>
      <w:r w:rsidRPr="0087620C">
        <w:rPr>
          <w:rStyle w:val="StyleUnderline"/>
        </w:rPr>
        <w:t xml:space="preserve"> the “</w:t>
      </w:r>
      <w:r w:rsidRPr="00CA6722">
        <w:rPr>
          <w:rStyle w:val="StyleUnderline"/>
          <w:highlight w:val="cyan"/>
        </w:rPr>
        <w:t>european mode of living</w:t>
      </w:r>
      <w:r w:rsidRPr="0087620C">
        <w:rPr>
          <w:rStyle w:val="StyleUnderline"/>
        </w:rPr>
        <w:t xml:space="preserve">” that is </w:t>
      </w:r>
      <w:r w:rsidRPr="00CA6722">
        <w:rPr>
          <w:rStyle w:val="StyleUnderline"/>
          <w:highlight w:val="cyan"/>
        </w:rPr>
        <w:t>founded upon</w:t>
      </w:r>
      <w:r w:rsidRPr="0087620C">
        <w:rPr>
          <w:rStyle w:val="StyleUnderline"/>
        </w:rPr>
        <w:t xml:space="preserve"> the </w:t>
      </w:r>
      <w:r w:rsidRPr="00CA6722">
        <w:rPr>
          <w:rStyle w:val="StyleUnderline"/>
          <w:highlight w:val="cyan"/>
        </w:rPr>
        <w:t>degradation of marginalized</w:t>
      </w:r>
      <w:r w:rsidRPr="0087620C">
        <w:rPr>
          <w:rStyle w:val="StyleUnderline"/>
        </w:rPr>
        <w:t xml:space="preserve"> people’s thoughts, </w:t>
      </w:r>
      <w:r w:rsidRPr="00CA6722">
        <w:rPr>
          <w:rStyle w:val="StyleUnderline"/>
          <w:highlight w:val="cyan"/>
        </w:rPr>
        <w:t>histories</w:t>
      </w:r>
      <w:r w:rsidRPr="0087620C">
        <w:rPr>
          <w:rStyle w:val="StyleUnderline"/>
        </w:rPr>
        <w:t>, and bodies.</w:t>
      </w:r>
      <w:r w:rsidRPr="00142D94">
        <w:rPr>
          <w:sz w:val="16"/>
        </w:rPr>
        <w:t xml:space="preserve"> “</w:t>
      </w:r>
      <w:r w:rsidRPr="0087620C">
        <w:rPr>
          <w:rStyle w:val="StyleUnderline"/>
        </w:rPr>
        <w:t xml:space="preserve">For within the </w:t>
      </w:r>
      <w:r w:rsidRPr="00CA6722">
        <w:rPr>
          <w:rStyle w:val="StyleUnderline"/>
          <w:highlight w:val="cyan"/>
        </w:rPr>
        <w:t>living structures defined by</w:t>
      </w:r>
      <w:r w:rsidRPr="0087620C">
        <w:rPr>
          <w:rStyle w:val="StyleUnderline"/>
        </w:rPr>
        <w:t xml:space="preserve"> profit, by linear power, by </w:t>
      </w:r>
      <w:r w:rsidRPr="00CA6722">
        <w:rPr>
          <w:rStyle w:val="StyleUnderline"/>
          <w:highlight w:val="cyan"/>
        </w:rPr>
        <w:t>institutional dehumanization</w:t>
      </w:r>
      <w:r w:rsidRPr="0087620C">
        <w:rPr>
          <w:rStyle w:val="StyleUnderline"/>
        </w:rPr>
        <w:t>,”</w:t>
      </w:r>
      <w:r w:rsidRPr="00142D94">
        <w:rPr>
          <w:sz w:val="16"/>
        </w:rPr>
        <w:t xml:space="preserve"> Lorde argues, “our feelings were not meant to survive” (39). Her description of life within white supremacist nations like the United States underscores the control that is exerted over which ideas are acceptable and able to be said. </w:t>
      </w:r>
      <w:r w:rsidRPr="0087620C">
        <w:rPr>
          <w:rStyle w:val="StyleUnderline"/>
        </w:rPr>
        <w:t>By Lorde’s account, neither Black queer women’s feelings–nor they themselves–“were meant to survive” (39).</w:t>
      </w:r>
    </w:p>
    <w:p w14:paraId="3F23651D" w14:textId="77777777" w:rsidR="00B4170C" w:rsidRPr="0087620C" w:rsidRDefault="00B4170C" w:rsidP="00B4170C">
      <w:pPr>
        <w:rPr>
          <w:rStyle w:val="StyleUnderline"/>
        </w:rPr>
      </w:pPr>
      <w:r w:rsidRPr="0087620C">
        <w:rPr>
          <w:rStyle w:val="StyleUnderline"/>
        </w:rPr>
        <w:t xml:space="preserve">Lorde’s speech “The Transformation of Silence into Language and Action,” given in the same year, describes the </w:t>
      </w:r>
      <w:r w:rsidRPr="00CA6722">
        <w:rPr>
          <w:rStyle w:val="StyleUnderline"/>
          <w:highlight w:val="cyan"/>
        </w:rPr>
        <w:t>silences that marginalized people</w:t>
      </w:r>
      <w:r w:rsidRPr="0087620C">
        <w:rPr>
          <w:rStyle w:val="StyleUnderline"/>
        </w:rPr>
        <w:t xml:space="preserve"> are </w:t>
      </w:r>
      <w:r w:rsidRPr="00CA6722">
        <w:rPr>
          <w:rStyle w:val="StyleUnderline"/>
          <w:highlight w:val="cyan"/>
        </w:rPr>
        <w:t>forced to swallow</w:t>
      </w:r>
      <w:r w:rsidRPr="0087620C">
        <w:rPr>
          <w:rStyle w:val="StyleUnderline"/>
        </w:rPr>
        <w:t>, which I interpret as another angle through which Lorde engages with the control of language as the control of the self. Lorde delineates the source of people’s individual silences about subjects of oppression to the broader systems of oppression that uphold the United States:</w:t>
      </w:r>
    </w:p>
    <w:p w14:paraId="4BEAE339" w14:textId="77777777" w:rsidR="00B4170C" w:rsidRPr="00865607" w:rsidRDefault="00B4170C" w:rsidP="00B4170C">
      <w:pPr>
        <w:rPr>
          <w:sz w:val="16"/>
        </w:rPr>
      </w:pPr>
      <w:r w:rsidRPr="00142D94">
        <w:rPr>
          <w:sz w:val="16"/>
        </w:rPr>
        <w:t xml:space="preserve">Within this country where racial difference creates a constant, if unspoken, distortion of vision, </w:t>
      </w:r>
      <w:r w:rsidRPr="0087620C">
        <w:rPr>
          <w:rStyle w:val="StyleUnderline"/>
        </w:rPr>
        <w:t>Black women have on one hand always been highly visible, and so, on the other hand, have been rendered invisible through the depersonalization of racism.</w:t>
      </w:r>
      <w:r w:rsidRPr="00142D94">
        <w:rPr>
          <w:sz w:val="16"/>
        </w:rPr>
        <w:t xml:space="preserve"> Even within the women’s movement, we have had to fight and still do, for that very visibility which also renders us most vulnerable, our Blackness. For </w:t>
      </w:r>
      <w:r w:rsidRPr="0087620C">
        <w:rPr>
          <w:rStyle w:val="StyleUnderline"/>
        </w:rPr>
        <w:t xml:space="preserve">to survive in the mouth of this dragon we call america, we have </w:t>
      </w:r>
      <w:r w:rsidRPr="0087620C">
        <w:rPr>
          <w:rStyle w:val="StyleUnderline"/>
        </w:rPr>
        <w:lastRenderedPageBreak/>
        <w:t>had to learn this first and most vital lesson–that we were never meant to survive. Not as human beings.</w:t>
      </w:r>
      <w:r w:rsidRPr="00142D94">
        <w:rPr>
          <w:sz w:val="16"/>
        </w:rPr>
        <w:t xml:space="preserve"> (Lorde 42).</w:t>
      </w:r>
      <w:bookmarkEnd w:id="15"/>
    </w:p>
    <w:p w14:paraId="0D1BEBCF" w14:textId="77777777" w:rsidR="00B4170C" w:rsidRPr="001D0162" w:rsidRDefault="00B4170C" w:rsidP="00B4170C">
      <w:pPr>
        <w:pStyle w:val="Heading4"/>
      </w:pPr>
      <w:r>
        <w:t xml:space="preserve">Simply adding and stirring ‘Arctic perspectives’ to research on </w:t>
      </w:r>
      <w:r>
        <w:rPr>
          <w:u w:val="single"/>
        </w:rPr>
        <w:t>better policies</w:t>
      </w:r>
      <w:r>
        <w:t xml:space="preserve"> reproduces colonial modes of </w:t>
      </w:r>
      <w:r>
        <w:rPr>
          <w:u w:val="single"/>
        </w:rPr>
        <w:t>resource extraction</w:t>
      </w:r>
      <w:r>
        <w:t xml:space="preserve">---the objectification of the Arctic and indigenous people </w:t>
      </w:r>
      <w:r>
        <w:rPr>
          <w:u w:val="single"/>
        </w:rPr>
        <w:t>subtends</w:t>
      </w:r>
      <w:r>
        <w:t xml:space="preserve"> domination. </w:t>
      </w:r>
    </w:p>
    <w:p w14:paraId="03321F79" w14:textId="77777777" w:rsidR="00B4170C" w:rsidRPr="00EE46C7" w:rsidRDefault="00B4170C" w:rsidP="00B4170C">
      <w:r w:rsidRPr="00EE46C7">
        <w:rPr>
          <w:rStyle w:val="Style13ptBold"/>
        </w:rPr>
        <w:t>Smith 25</w:t>
      </w:r>
      <w:r>
        <w:t xml:space="preserve">, dAXunhyuu geographer, assistant professor at University of Washington. (Jen Rose, 2025, “Ice Geographies: The Colonial Politics of Race &amp; Indigeneity in the Arctic,” Duke University Press) </w:t>
      </w:r>
    </w:p>
    <w:p w14:paraId="34EE0C12" w14:textId="77777777" w:rsidR="00B4170C" w:rsidRPr="002D706E" w:rsidRDefault="00B4170C" w:rsidP="00B4170C">
      <w:pPr>
        <w:rPr>
          <w:rStyle w:val="StyleUnderline"/>
        </w:rPr>
      </w:pPr>
      <w:r w:rsidRPr="00050B78">
        <w:rPr>
          <w:rStyle w:val="Emphasis"/>
          <w:highlight w:val="cyan"/>
        </w:rPr>
        <w:t>TEK</w:t>
      </w:r>
      <w:r w:rsidRPr="002D706E">
        <w:rPr>
          <w:sz w:val="16"/>
        </w:rPr>
        <w:t xml:space="preserve">, then, </w:t>
      </w:r>
      <w:r w:rsidRPr="006F7AD6">
        <w:rPr>
          <w:rStyle w:val="StyleUnderline"/>
        </w:rPr>
        <w:t>is</w:t>
      </w:r>
      <w:r w:rsidRPr="002D706E">
        <w:rPr>
          <w:rStyle w:val="StyleUnderline"/>
        </w:rPr>
        <w:t xml:space="preserve"> often </w:t>
      </w:r>
      <w:r w:rsidRPr="00050B78">
        <w:rPr>
          <w:rStyle w:val="StyleUnderline"/>
          <w:highlight w:val="cyan"/>
        </w:rPr>
        <w:t xml:space="preserve">essentialized </w:t>
      </w:r>
      <w:r w:rsidRPr="00565FCD">
        <w:rPr>
          <w:rStyle w:val="StyleUnderline"/>
        </w:rPr>
        <w:t>and forced into a container as though it could exist in an apolitical</w:t>
      </w:r>
      <w:r w:rsidRPr="002D706E">
        <w:rPr>
          <w:rStyle w:val="StyleUnderline"/>
        </w:rPr>
        <w:t xml:space="preserve"> and ahistorical </w:t>
      </w:r>
      <w:r w:rsidRPr="00565FCD">
        <w:rPr>
          <w:rStyle w:val="StyleUnderline"/>
        </w:rPr>
        <w:t>form severed from</w:t>
      </w:r>
      <w:r w:rsidRPr="002D706E">
        <w:rPr>
          <w:rStyle w:val="StyleUnderline"/>
        </w:rPr>
        <w:t xml:space="preserve"> the </w:t>
      </w:r>
      <w:r w:rsidRPr="00565FCD">
        <w:rPr>
          <w:rStyle w:val="StyleUnderline"/>
        </w:rPr>
        <w:t>relations</w:t>
      </w:r>
      <w:r w:rsidRPr="002D706E">
        <w:rPr>
          <w:rStyle w:val="StyleUnderline"/>
        </w:rPr>
        <w:t xml:space="preserve"> it co-constitutes</w:t>
      </w:r>
      <w:r w:rsidRPr="002D706E">
        <w:rPr>
          <w:sz w:val="16"/>
        </w:rPr>
        <w:t xml:space="preserve">. </w:t>
      </w:r>
      <w:r w:rsidRPr="00565FCD">
        <w:rPr>
          <w:rStyle w:val="StyleUnderline"/>
        </w:rPr>
        <w:t xml:space="preserve">There is a </w:t>
      </w:r>
      <w:r w:rsidRPr="00050B78">
        <w:rPr>
          <w:rStyle w:val="StyleUnderline"/>
          <w:highlight w:val="cyan"/>
        </w:rPr>
        <w:t>tendency to reduce Indigenous knowledges to something</w:t>
      </w:r>
      <w:r w:rsidRPr="002D706E">
        <w:rPr>
          <w:sz w:val="16"/>
        </w:rPr>
        <w:t xml:space="preserve"> only botanical, </w:t>
      </w:r>
      <w:r w:rsidRPr="00050B78">
        <w:rPr>
          <w:rStyle w:val="Emphasis"/>
          <w:highlight w:val="cyan"/>
        </w:rPr>
        <w:t>ecological</w:t>
      </w:r>
      <w:r w:rsidRPr="002D706E">
        <w:rPr>
          <w:sz w:val="16"/>
        </w:rPr>
        <w:t xml:space="preserve">, or somehow about sustainability, conservation, or preservation. As Cana Uluak Itchuaqiyaq argues, “Indigenous knowledges are not secondary to western, ‘scientific’ ones. Indeed Inuit knowledges of our lands and waters are scientific, sovereign, and often sacred . . . these knowledges come from our communities observing, interacting, surviving together, and depending on the same lands and waters where our ancestors existed.”62 </w:t>
      </w:r>
      <w:r w:rsidRPr="00565FCD">
        <w:rPr>
          <w:rStyle w:val="StyleUnderline"/>
        </w:rPr>
        <w:t xml:space="preserve">There is a </w:t>
      </w:r>
      <w:r w:rsidRPr="00050B78">
        <w:rPr>
          <w:rStyle w:val="StyleUnderline"/>
          <w:highlight w:val="cyan"/>
        </w:rPr>
        <w:t xml:space="preserve">drive to </w:t>
      </w:r>
      <w:r w:rsidRPr="00050B78">
        <w:rPr>
          <w:rStyle w:val="Emphasis"/>
          <w:highlight w:val="cyan"/>
        </w:rPr>
        <w:t>incorporate</w:t>
      </w:r>
      <w:r w:rsidRPr="002D706E">
        <w:rPr>
          <w:rStyle w:val="StyleUnderline"/>
        </w:rPr>
        <w:t xml:space="preserve"> local Indigenous </w:t>
      </w:r>
      <w:r w:rsidRPr="00050B78">
        <w:rPr>
          <w:rStyle w:val="Emphasis"/>
          <w:highlight w:val="cyan"/>
        </w:rPr>
        <w:t>knowledges</w:t>
      </w:r>
      <w:r w:rsidRPr="002D706E">
        <w:rPr>
          <w:rStyle w:val="StyleUnderline"/>
        </w:rPr>
        <w:t xml:space="preserve"> on the ground, </w:t>
      </w:r>
      <w:r w:rsidRPr="00050B78">
        <w:rPr>
          <w:rStyle w:val="Emphasis"/>
          <w:highlight w:val="cyan"/>
        </w:rPr>
        <w:t>separate from political relationships in which they are embroiled</w:t>
      </w:r>
      <w:r w:rsidRPr="002D706E">
        <w:rPr>
          <w:rStyle w:val="StyleUnderline"/>
        </w:rPr>
        <w:t xml:space="preserve">, </w:t>
      </w:r>
      <w:r w:rsidRPr="00050B78">
        <w:rPr>
          <w:rStyle w:val="StyleUnderline"/>
          <w:highlight w:val="cyan"/>
        </w:rPr>
        <w:t>to build</w:t>
      </w:r>
      <w:r w:rsidRPr="002D706E">
        <w:rPr>
          <w:rStyle w:val="StyleUnderline"/>
        </w:rPr>
        <w:t xml:space="preserve"> a </w:t>
      </w:r>
      <w:r w:rsidRPr="00050B78">
        <w:rPr>
          <w:rStyle w:val="StyleUnderline"/>
          <w:highlight w:val="cyan"/>
        </w:rPr>
        <w:t>better</w:t>
      </w:r>
      <w:r w:rsidRPr="002D706E">
        <w:rPr>
          <w:rStyle w:val="StyleUnderline"/>
        </w:rPr>
        <w:t xml:space="preserve"> set of representations for data, figures, and, </w:t>
      </w:r>
      <w:r w:rsidRPr="002D706E">
        <w:rPr>
          <w:rStyle w:val="Emphasis"/>
        </w:rPr>
        <w:t xml:space="preserve">inevitably, </w:t>
      </w:r>
      <w:r w:rsidRPr="00050B78">
        <w:rPr>
          <w:rStyle w:val="Emphasis"/>
          <w:highlight w:val="cyan"/>
        </w:rPr>
        <w:t>policy</w:t>
      </w:r>
      <w:r w:rsidRPr="002D706E">
        <w:rPr>
          <w:sz w:val="16"/>
        </w:rPr>
        <w:t xml:space="preserve">. </w:t>
      </w:r>
      <w:r w:rsidRPr="00050B78">
        <w:rPr>
          <w:rStyle w:val="StyleUnderline"/>
          <w:highlight w:val="cyan"/>
        </w:rPr>
        <w:t>This is</w:t>
      </w:r>
      <w:r w:rsidRPr="002D706E">
        <w:rPr>
          <w:rStyle w:val="StyleUnderline"/>
        </w:rPr>
        <w:t xml:space="preserve"> an </w:t>
      </w:r>
      <w:r w:rsidRPr="00050B78">
        <w:rPr>
          <w:rStyle w:val="StyleUnderline"/>
          <w:highlight w:val="cyan"/>
        </w:rPr>
        <w:t>inadequate</w:t>
      </w:r>
      <w:r w:rsidRPr="002D706E">
        <w:rPr>
          <w:rStyle w:val="StyleUnderline"/>
        </w:rPr>
        <w:t xml:space="preserve"> framing as Indigenous science and knowledge sets cannot be bracketed; they are ongoing relations and practices that are political, juridical, and spiritual and must be consistently maintained and reiterated</w:t>
      </w:r>
      <w:r w:rsidRPr="002D706E">
        <w:rPr>
          <w:sz w:val="16"/>
        </w:rPr>
        <w:t xml:space="preserve">.63 It is not Indigenous peoples’ responsibility to save what has been contemporarily cast as a dying planet. </w:t>
      </w:r>
      <w:r w:rsidRPr="00050B78">
        <w:rPr>
          <w:rStyle w:val="Emphasis"/>
          <w:highlight w:val="cyan"/>
        </w:rPr>
        <w:t>Native peoples</w:t>
      </w:r>
      <w:r w:rsidRPr="002D706E">
        <w:rPr>
          <w:sz w:val="16"/>
        </w:rPr>
        <w:t xml:space="preserve">, communities, and polities </w:t>
      </w:r>
      <w:r w:rsidRPr="00050B78">
        <w:rPr>
          <w:rStyle w:val="StyleUnderline"/>
          <w:highlight w:val="cyan"/>
        </w:rPr>
        <w:t xml:space="preserve">are boxed by </w:t>
      </w:r>
      <w:r w:rsidRPr="00050B78">
        <w:rPr>
          <w:rStyle w:val="Emphasis"/>
          <w:highlight w:val="cyan"/>
        </w:rPr>
        <w:t>colonial regimes</w:t>
      </w:r>
      <w:r w:rsidRPr="002D706E">
        <w:rPr>
          <w:sz w:val="16"/>
        </w:rPr>
        <w:t xml:space="preserve"> </w:t>
      </w:r>
      <w:r w:rsidRPr="002D706E">
        <w:rPr>
          <w:rStyle w:val="StyleUnderline"/>
        </w:rPr>
        <w:t>that make it appear as though they should save a dying earth as mythologically, inherently land-based people—and not that they might have their own strategies as sovereign entities who govern as they best see fit.</w:t>
      </w:r>
    </w:p>
    <w:p w14:paraId="2B51E157" w14:textId="77777777" w:rsidR="00B4170C" w:rsidRPr="002D706E" w:rsidRDefault="00B4170C" w:rsidP="00B4170C">
      <w:pPr>
        <w:rPr>
          <w:sz w:val="16"/>
        </w:rPr>
      </w:pPr>
      <w:r w:rsidRPr="00050B78">
        <w:rPr>
          <w:rStyle w:val="StyleUnderline"/>
          <w:highlight w:val="cyan"/>
        </w:rPr>
        <w:t>One way</w:t>
      </w:r>
      <w:r w:rsidRPr="002D706E">
        <w:rPr>
          <w:rStyle w:val="StyleUnderline"/>
        </w:rPr>
        <w:t xml:space="preserve"> that</w:t>
      </w:r>
      <w:r w:rsidRPr="002D706E">
        <w:rPr>
          <w:sz w:val="16"/>
        </w:rPr>
        <w:t xml:space="preserve"> </w:t>
      </w:r>
      <w:r w:rsidRPr="00050B78">
        <w:rPr>
          <w:rStyle w:val="Emphasis"/>
          <w:highlight w:val="cyan"/>
        </w:rPr>
        <w:t>Arctic Indigenous knowledges</w:t>
      </w:r>
      <w:r w:rsidRPr="00050B78">
        <w:rPr>
          <w:sz w:val="16"/>
          <w:highlight w:val="cyan"/>
        </w:rPr>
        <w:t xml:space="preserve"> </w:t>
      </w:r>
      <w:r w:rsidRPr="00050B78">
        <w:rPr>
          <w:rStyle w:val="StyleUnderline"/>
          <w:highlight w:val="cyan"/>
        </w:rPr>
        <w:t xml:space="preserve">have been usurped through </w:t>
      </w:r>
      <w:r w:rsidRPr="00050B78">
        <w:rPr>
          <w:rStyle w:val="Emphasis"/>
          <w:highlight w:val="cyan"/>
        </w:rPr>
        <w:t>add-and-stir</w:t>
      </w:r>
      <w:r w:rsidRPr="002D706E">
        <w:rPr>
          <w:rStyle w:val="Emphasis"/>
        </w:rPr>
        <w:t xml:space="preserve"> tactics of inclusion</w:t>
      </w:r>
      <w:r w:rsidRPr="002D706E">
        <w:rPr>
          <w:sz w:val="16"/>
        </w:rPr>
        <w:t xml:space="preserve"> </w:t>
      </w:r>
      <w:r w:rsidRPr="00050B78">
        <w:rPr>
          <w:rStyle w:val="StyleUnderline"/>
          <w:highlight w:val="cyan"/>
        </w:rPr>
        <w:t>is</w:t>
      </w:r>
      <w:r w:rsidRPr="002D706E">
        <w:rPr>
          <w:rStyle w:val="StyleUnderline"/>
        </w:rPr>
        <w:t xml:space="preserve"> through scientific </w:t>
      </w:r>
      <w:r w:rsidRPr="00050B78">
        <w:rPr>
          <w:rStyle w:val="StyleUnderline"/>
          <w:highlight w:val="cyan"/>
        </w:rPr>
        <w:t>research</w:t>
      </w:r>
      <w:r w:rsidRPr="002D706E">
        <w:rPr>
          <w:rStyle w:val="StyleUnderline"/>
        </w:rPr>
        <w:t xml:space="preserve"> projects that laud collaborative methodologies </w:t>
      </w:r>
      <w:r w:rsidRPr="00050B78">
        <w:rPr>
          <w:rStyle w:val="StyleUnderline"/>
          <w:highlight w:val="cyan"/>
        </w:rPr>
        <w:t xml:space="preserve">without </w:t>
      </w:r>
      <w:r w:rsidRPr="00050B78">
        <w:rPr>
          <w:rStyle w:val="Emphasis"/>
          <w:highlight w:val="cyan"/>
        </w:rPr>
        <w:t>meaningful</w:t>
      </w:r>
      <w:r w:rsidRPr="002D706E">
        <w:rPr>
          <w:rStyle w:val="StyleUnderline"/>
        </w:rPr>
        <w:t xml:space="preserve"> engagement and </w:t>
      </w:r>
      <w:r w:rsidRPr="00050B78">
        <w:rPr>
          <w:rStyle w:val="Emphasis"/>
          <w:highlight w:val="cyan"/>
        </w:rPr>
        <w:t>representation</w:t>
      </w:r>
      <w:r w:rsidRPr="002D706E">
        <w:rPr>
          <w:sz w:val="16"/>
        </w:rPr>
        <w:t xml:space="preserve">. In 2020, </w:t>
      </w:r>
      <w:r w:rsidRPr="002D706E">
        <w:rPr>
          <w:rStyle w:val="StyleUnderline"/>
        </w:rPr>
        <w:t>Kawerak</w:t>
      </w:r>
      <w:r w:rsidRPr="002D706E">
        <w:rPr>
          <w:sz w:val="16"/>
        </w:rPr>
        <w:t xml:space="preserve">, Inc., a regional nonprofit corporation serving the Bering Straits Region </w:t>
      </w:r>
      <w:r w:rsidRPr="002D706E">
        <w:rPr>
          <w:rStyle w:val="StyleUnderline"/>
        </w:rPr>
        <w:t>organized under the auspices of</w:t>
      </w:r>
      <w:r w:rsidRPr="002D706E">
        <w:rPr>
          <w:sz w:val="16"/>
        </w:rPr>
        <w:t xml:space="preserve"> </w:t>
      </w:r>
      <w:r>
        <w:rPr>
          <w:rStyle w:val="Emphasis"/>
        </w:rPr>
        <w:t>ANCSA</w:t>
      </w:r>
      <w:r w:rsidRPr="002D706E">
        <w:rPr>
          <w:sz w:val="16"/>
        </w:rPr>
        <w:t xml:space="preserve">, </w:t>
      </w:r>
      <w:r w:rsidRPr="002D706E">
        <w:rPr>
          <w:rStyle w:val="StyleUnderline"/>
        </w:rPr>
        <w:t>wrote a letter addressed to the</w:t>
      </w:r>
      <w:r w:rsidRPr="002D706E">
        <w:rPr>
          <w:sz w:val="16"/>
        </w:rPr>
        <w:t xml:space="preserve"> </w:t>
      </w:r>
      <w:r w:rsidRPr="002D706E">
        <w:rPr>
          <w:rStyle w:val="Emphasis"/>
        </w:rPr>
        <w:t>N</w:t>
      </w:r>
      <w:r w:rsidRPr="002D706E">
        <w:rPr>
          <w:sz w:val="16"/>
        </w:rPr>
        <w:t xml:space="preserve">ational </w:t>
      </w:r>
      <w:r w:rsidRPr="002D706E">
        <w:rPr>
          <w:rStyle w:val="Emphasis"/>
        </w:rPr>
        <w:t>S</w:t>
      </w:r>
      <w:r w:rsidRPr="002D706E">
        <w:rPr>
          <w:sz w:val="16"/>
        </w:rPr>
        <w:t xml:space="preserve">cience </w:t>
      </w:r>
      <w:r w:rsidRPr="002D706E">
        <w:rPr>
          <w:rStyle w:val="Emphasis"/>
        </w:rPr>
        <w:t>F</w:t>
      </w:r>
      <w:r w:rsidRPr="002D706E">
        <w:rPr>
          <w:sz w:val="16"/>
        </w:rPr>
        <w:t>oundation</w:t>
      </w:r>
      <w:r w:rsidRPr="002D706E">
        <w:rPr>
          <w:rStyle w:val="StyleUnderline"/>
        </w:rPr>
        <w:t>’s</w:t>
      </w:r>
      <w:r w:rsidRPr="002D706E">
        <w:rPr>
          <w:sz w:val="16"/>
        </w:rPr>
        <w:t xml:space="preserve"> </w:t>
      </w:r>
      <w:r w:rsidRPr="002D706E">
        <w:rPr>
          <w:rStyle w:val="StyleUnderline"/>
        </w:rPr>
        <w:t>polar program</w:t>
      </w:r>
      <w:r w:rsidRPr="002D706E">
        <w:rPr>
          <w:sz w:val="16"/>
        </w:rPr>
        <w:t xml:space="preserve"> </w:t>
      </w:r>
      <w:r w:rsidRPr="00050B78">
        <w:rPr>
          <w:rStyle w:val="Emphasis"/>
          <w:highlight w:val="cyan"/>
        </w:rPr>
        <w:t>Navigating the New Arctic</w:t>
      </w:r>
      <w:r w:rsidRPr="002D706E">
        <w:rPr>
          <w:sz w:val="16"/>
        </w:rPr>
        <w:t xml:space="preserve"> (</w:t>
      </w:r>
      <w:r w:rsidRPr="002D706E">
        <w:rPr>
          <w:rStyle w:val="Emphasis"/>
        </w:rPr>
        <w:t>NNA</w:t>
      </w:r>
      <w:r w:rsidRPr="002D706E">
        <w:rPr>
          <w:sz w:val="16"/>
        </w:rPr>
        <w:t xml:space="preserve">). </w:t>
      </w:r>
      <w:r w:rsidRPr="002D706E">
        <w:rPr>
          <w:rStyle w:val="StyleUnderline"/>
        </w:rPr>
        <w:t xml:space="preserve">The letter </w:t>
      </w:r>
      <w:r w:rsidRPr="00050B78">
        <w:rPr>
          <w:rStyle w:val="StyleUnderline"/>
          <w:highlight w:val="cyan"/>
        </w:rPr>
        <w:t xml:space="preserve">indicted </w:t>
      </w:r>
      <w:r w:rsidRPr="00050B78">
        <w:rPr>
          <w:rStyle w:val="Emphasis"/>
          <w:highlight w:val="cyan"/>
        </w:rPr>
        <w:t>poor research practices</w:t>
      </w:r>
      <w:r w:rsidRPr="002D706E">
        <w:rPr>
          <w:sz w:val="16"/>
        </w:rPr>
        <w:t xml:space="preserve"> and included statements such as:</w:t>
      </w:r>
    </w:p>
    <w:p w14:paraId="7F3E8611" w14:textId="77777777" w:rsidR="00B4170C" w:rsidRPr="002D706E" w:rsidRDefault="00B4170C" w:rsidP="00B4170C">
      <w:pPr>
        <w:ind w:left="720"/>
        <w:rPr>
          <w:sz w:val="16"/>
        </w:rPr>
      </w:pPr>
      <w:r w:rsidRPr="002D706E">
        <w:rPr>
          <w:sz w:val="16"/>
        </w:rPr>
        <w:t xml:space="preserve">We cannot overstate the need for true collaboration among Indigenous Peoples . . . we have grave concerns about the impacts from the NNA process and funded projects to date. </w:t>
      </w:r>
      <w:r w:rsidRPr="002D706E">
        <w:rPr>
          <w:rStyle w:val="StyleUnderline"/>
        </w:rPr>
        <w:t>The NNA has funded projects that claim .  .  . to be collaborative, to do knowledge co</w:t>
      </w:r>
      <w:r>
        <w:rPr>
          <w:rStyle w:val="StyleUnderline"/>
        </w:rPr>
        <w:t>-</w:t>
      </w:r>
      <w:r w:rsidRPr="002D706E">
        <w:rPr>
          <w:rStyle w:val="StyleUnderline"/>
        </w:rPr>
        <w:t>production, to include partnerships with Indigenous communities, and to address questions that will ‘help’ or ‘assist’ Arctic residents</w:t>
      </w:r>
      <w:r w:rsidRPr="002D706E">
        <w:rPr>
          <w:sz w:val="16"/>
        </w:rPr>
        <w:t xml:space="preserve">. </w:t>
      </w:r>
      <w:r w:rsidRPr="002D706E">
        <w:rPr>
          <w:rStyle w:val="StyleUnderline"/>
        </w:rPr>
        <w:t>Many of these projects</w:t>
      </w:r>
      <w:r w:rsidRPr="002D706E">
        <w:rPr>
          <w:sz w:val="16"/>
        </w:rPr>
        <w:t xml:space="preserve"> (and many more which were not funded) </w:t>
      </w:r>
      <w:r w:rsidRPr="002D706E">
        <w:rPr>
          <w:rStyle w:val="Emphasis"/>
        </w:rPr>
        <w:t>do not and will not fulfill any of those claims</w:t>
      </w:r>
      <w:r w:rsidRPr="002D706E">
        <w:rPr>
          <w:sz w:val="16"/>
        </w:rPr>
        <w:t>.64</w:t>
      </w:r>
    </w:p>
    <w:p w14:paraId="1CAA349C" w14:textId="77777777" w:rsidR="00B4170C" w:rsidRPr="002D706E" w:rsidRDefault="00B4170C" w:rsidP="00B4170C">
      <w:pPr>
        <w:rPr>
          <w:sz w:val="16"/>
        </w:rPr>
      </w:pPr>
      <w:r w:rsidRPr="002D706E">
        <w:rPr>
          <w:sz w:val="16"/>
        </w:rPr>
        <w:t>This important statement resonates with Cana Uluak Itchuaqiyaq’s urgent call for equitable, meaningful collaboration with Indigenous peoples in Arctic science research. Itchuaqiyaq writes,</w:t>
      </w:r>
    </w:p>
    <w:p w14:paraId="48B11705" w14:textId="77777777" w:rsidR="00B4170C" w:rsidRPr="002D706E" w:rsidRDefault="00B4170C" w:rsidP="00B4170C">
      <w:pPr>
        <w:ind w:left="720"/>
        <w:rPr>
          <w:sz w:val="16"/>
        </w:rPr>
      </w:pPr>
      <w:r w:rsidRPr="002D706E">
        <w:rPr>
          <w:rStyle w:val="StyleUnderline"/>
        </w:rPr>
        <w:t xml:space="preserve">I have been researched. </w:t>
      </w:r>
      <w:r w:rsidRPr="00E828E4">
        <w:rPr>
          <w:rStyle w:val="StyleUnderline"/>
        </w:rPr>
        <w:t>My family has been researched</w:t>
      </w:r>
      <w:r w:rsidRPr="002D706E">
        <w:rPr>
          <w:rStyle w:val="StyleUnderline"/>
        </w:rPr>
        <w:t xml:space="preserve">. </w:t>
      </w:r>
      <w:r w:rsidRPr="00050B78">
        <w:rPr>
          <w:rStyle w:val="StyleUnderline"/>
          <w:highlight w:val="cyan"/>
        </w:rPr>
        <w:t>We have given access</w:t>
      </w:r>
      <w:r w:rsidRPr="002D706E">
        <w:rPr>
          <w:rStyle w:val="StyleUnderline"/>
        </w:rPr>
        <w:t xml:space="preserve"> to ourselves, our experiences, our ancestral knowledges, and our homes to fulfill others’ ambitions, all in the hope that these actions can help our community</w:t>
      </w:r>
      <w:r w:rsidRPr="002D706E">
        <w:rPr>
          <w:sz w:val="16"/>
        </w:rPr>
        <w:t xml:space="preserve">. We have trusted others to depict our lives, experiences, knowledges, and communities fairly and accurately. </w:t>
      </w:r>
      <w:r w:rsidRPr="00050B78">
        <w:rPr>
          <w:rStyle w:val="Emphasis"/>
          <w:highlight w:val="cyan"/>
        </w:rPr>
        <w:t>We have lent our social capital</w:t>
      </w:r>
      <w:r w:rsidRPr="002D706E">
        <w:rPr>
          <w:sz w:val="16"/>
        </w:rPr>
        <w:t xml:space="preserve"> to outsiders and vouched for them so that they may gain access into the homes of others in our community. </w:t>
      </w:r>
      <w:r w:rsidRPr="00050B78">
        <w:rPr>
          <w:rStyle w:val="Emphasis"/>
          <w:highlight w:val="cyan"/>
        </w:rPr>
        <w:t>We have incurred risk. / Tell me: What risk have you incurred?</w:t>
      </w:r>
      <w:r w:rsidRPr="002D706E">
        <w:rPr>
          <w:sz w:val="16"/>
        </w:rPr>
        <w:t>65</w:t>
      </w:r>
    </w:p>
    <w:p w14:paraId="4CCCE632" w14:textId="77777777" w:rsidR="00B4170C" w:rsidRPr="00EB0F71" w:rsidRDefault="00B4170C" w:rsidP="00B4170C">
      <w:pPr>
        <w:rPr>
          <w:sz w:val="16"/>
        </w:rPr>
      </w:pPr>
      <w:r w:rsidRPr="00050B78">
        <w:rPr>
          <w:rStyle w:val="StyleUnderline"/>
          <w:highlight w:val="cyan"/>
        </w:rPr>
        <w:t>These calls for responsible</w:t>
      </w:r>
      <w:r w:rsidRPr="002D706E">
        <w:rPr>
          <w:rStyle w:val="StyleUnderline"/>
        </w:rPr>
        <w:t xml:space="preserve"> scientific </w:t>
      </w:r>
      <w:r w:rsidRPr="00050B78">
        <w:rPr>
          <w:rStyle w:val="StyleUnderline"/>
          <w:highlight w:val="cyan"/>
        </w:rPr>
        <w:t>engagement</w:t>
      </w:r>
      <w:r w:rsidRPr="002D706E">
        <w:rPr>
          <w:rStyle w:val="StyleUnderline"/>
        </w:rPr>
        <w:t xml:space="preserve"> with Arctic Indigenous communities </w:t>
      </w:r>
      <w:r w:rsidRPr="00050B78">
        <w:rPr>
          <w:rStyle w:val="StyleUnderline"/>
          <w:highlight w:val="cyan"/>
        </w:rPr>
        <w:t>don’t arrive from nowhere</w:t>
      </w:r>
      <w:r w:rsidRPr="002D706E">
        <w:rPr>
          <w:rStyle w:val="StyleUnderline"/>
        </w:rPr>
        <w:t xml:space="preserve">. In this moment of climate change, the most dominant form of ordering and narrating ice geographies is made through understanding ice as a scientific dataset. </w:t>
      </w:r>
      <w:r w:rsidRPr="00050B78">
        <w:rPr>
          <w:rStyle w:val="StyleUnderline"/>
          <w:highlight w:val="cyan"/>
        </w:rPr>
        <w:t>Ice</w:t>
      </w:r>
      <w:r w:rsidRPr="002D706E">
        <w:rPr>
          <w:rStyle w:val="StyleUnderline"/>
        </w:rPr>
        <w:t xml:space="preserve"> as a material for objective </w:t>
      </w:r>
      <w:r w:rsidRPr="002D706E">
        <w:rPr>
          <w:rStyle w:val="StyleUnderline"/>
        </w:rPr>
        <w:lastRenderedPageBreak/>
        <w:t xml:space="preserve">laboratorial analysis </w:t>
      </w:r>
      <w:r w:rsidRPr="00050B78">
        <w:rPr>
          <w:rStyle w:val="StyleUnderline"/>
          <w:highlight w:val="cyan"/>
        </w:rPr>
        <w:t>is</w:t>
      </w:r>
      <w:r w:rsidRPr="002D706E">
        <w:rPr>
          <w:rStyle w:val="StyleUnderline"/>
        </w:rPr>
        <w:t xml:space="preserve"> often </w:t>
      </w:r>
      <w:r w:rsidRPr="00050B78">
        <w:rPr>
          <w:rStyle w:val="StyleUnderline"/>
          <w:highlight w:val="cyan"/>
        </w:rPr>
        <w:t>severed from</w:t>
      </w:r>
      <w:r w:rsidRPr="002D706E">
        <w:rPr>
          <w:rStyle w:val="StyleUnderline"/>
        </w:rPr>
        <w:t xml:space="preserve"> the </w:t>
      </w:r>
      <w:r w:rsidRPr="00050B78">
        <w:rPr>
          <w:rStyle w:val="StyleUnderline"/>
          <w:highlight w:val="cyan"/>
        </w:rPr>
        <w:t>political and social contexts</w:t>
      </w:r>
      <w:r w:rsidRPr="002D706E">
        <w:rPr>
          <w:rStyle w:val="StyleUnderline"/>
        </w:rPr>
        <w:t xml:space="preserve"> from which it was removed toward the goal of telling planetary stories</w:t>
      </w:r>
      <w:r w:rsidRPr="002D706E">
        <w:rPr>
          <w:sz w:val="16"/>
        </w:rPr>
        <w:t>. Scientific data has long been extracted from the Arctic and continues in contemporary forms such as through drone imagery and satellite data that tracks sea ice melt and glacial retreat.66 The technologies to surveil, track, speculate, and predict ice melt seem to proliferate with the minute.</w:t>
      </w:r>
    </w:p>
    <w:p w14:paraId="6BA7DBA9" w14:textId="77777777" w:rsidR="00B4170C" w:rsidRDefault="00B4170C" w:rsidP="00B4170C">
      <w:pPr>
        <w:pStyle w:val="Heading4"/>
      </w:pPr>
      <w:r>
        <w:t xml:space="preserve">Disrupting coloniality </w:t>
      </w:r>
      <w:r w:rsidRPr="000C775B">
        <w:rPr>
          <w:u w:val="single"/>
        </w:rPr>
        <w:t>requires</w:t>
      </w:r>
      <w:r>
        <w:t xml:space="preserve"> disrupting antiblackness through centering the voices of women of color living outside of the gender binary. that </w:t>
      </w:r>
      <w:r w:rsidRPr="000C775B">
        <w:rPr>
          <w:u w:val="single"/>
        </w:rPr>
        <w:t>turns case</w:t>
      </w:r>
      <w:r>
        <w:t>. The alt is key.</w:t>
      </w:r>
    </w:p>
    <w:p w14:paraId="21A2D7E2" w14:textId="77777777" w:rsidR="00B4170C" w:rsidRPr="000C775B" w:rsidRDefault="00B4170C" w:rsidP="00B4170C">
      <w:pPr>
        <w:rPr>
          <w:sz w:val="16"/>
        </w:rPr>
      </w:pPr>
      <w:r w:rsidRPr="000C775B">
        <w:rPr>
          <w:sz w:val="16"/>
        </w:rPr>
        <w:t xml:space="preserve">Whitney </w:t>
      </w:r>
      <w:r w:rsidRPr="000C775B">
        <w:rPr>
          <w:rStyle w:val="Style13ptBold"/>
        </w:rPr>
        <w:t>Sparks 19</w:t>
      </w:r>
      <w:r w:rsidRPr="000C775B">
        <w:rPr>
          <w:sz w:val="16"/>
        </w:rPr>
        <w:t xml:space="preserve">, Whitney Sparks is an artist, writer, and mother. Ms. Sparks writes about witchcraft, white oppression, and spirituality. Nov 16 2019, “Anti-Blackness and Colonization: There is No Decolonization Without Uplifting Black Lives”, terra incognita, </w:t>
      </w:r>
      <w:hyperlink r:id="rId89" w:history="1">
        <w:r w:rsidRPr="00384B65">
          <w:rPr>
            <w:rStyle w:val="Hyperlink"/>
          </w:rPr>
          <w:t>https://www.terraincognitamedia.com/features/antiblackness-and-colonization2019</w:t>
        </w:r>
      </w:hyperlink>
      <w:r w:rsidRPr="000C775B">
        <w:rPr>
          <w:sz w:val="16"/>
        </w:rPr>
        <w:t>, //Irene.</w:t>
      </w:r>
    </w:p>
    <w:p w14:paraId="7F40CBBE" w14:textId="77777777" w:rsidR="00B4170C" w:rsidRPr="000C775B" w:rsidRDefault="00B4170C" w:rsidP="00B4170C">
      <w:pPr>
        <w:rPr>
          <w:rStyle w:val="StyleUnderline"/>
        </w:rPr>
      </w:pPr>
      <w:r w:rsidRPr="00363272">
        <w:rPr>
          <w:sz w:val="16"/>
        </w:rPr>
        <w:t xml:space="preserve"> </w:t>
      </w:r>
      <w:r w:rsidRPr="000C775B">
        <w:rPr>
          <w:rStyle w:val="StyleUnderline"/>
        </w:rPr>
        <w:t xml:space="preserve">As a black woman of Turtle Island I am asking EVERYONE to </w:t>
      </w:r>
      <w:r w:rsidRPr="00363272">
        <w:rPr>
          <w:rStyle w:val="StyleUnderline"/>
          <w:highlight w:val="cyan"/>
        </w:rPr>
        <w:t xml:space="preserve">STOP speaking of “Decolonization” without </w:t>
      </w:r>
      <w:r w:rsidRPr="00363272">
        <w:rPr>
          <w:rStyle w:val="Emphasis"/>
          <w:highlight w:val="cyan"/>
        </w:rPr>
        <w:t>explicitly</w:t>
      </w:r>
      <w:r w:rsidRPr="000C775B">
        <w:rPr>
          <w:rStyle w:val="StyleUnderline"/>
        </w:rPr>
        <w:t xml:space="preserve"> naming and </w:t>
      </w:r>
      <w:r w:rsidRPr="00363272">
        <w:rPr>
          <w:rStyle w:val="StyleUnderline"/>
          <w:highlight w:val="cyan"/>
        </w:rPr>
        <w:t>confronting Anti-blackness</w:t>
      </w:r>
      <w:r w:rsidRPr="000C775B">
        <w:rPr>
          <w:rStyle w:val="StyleUnderline"/>
        </w:rPr>
        <w:t xml:space="preserve">. Anti-blackness is </w:t>
      </w:r>
      <w:r w:rsidRPr="00363272">
        <w:rPr>
          <w:rStyle w:val="StyleUnderline"/>
          <w:highlight w:val="cyan"/>
        </w:rPr>
        <w:t>deeply</w:t>
      </w:r>
      <w:r w:rsidRPr="000C775B">
        <w:rPr>
          <w:rStyle w:val="StyleUnderline"/>
        </w:rPr>
        <w:t xml:space="preserve">, unshakably </w:t>
      </w:r>
      <w:r w:rsidRPr="00363272">
        <w:rPr>
          <w:rStyle w:val="StyleUnderline"/>
          <w:highlight w:val="cyan"/>
        </w:rPr>
        <w:t>inherent to colonization</w:t>
      </w:r>
      <w:r w:rsidRPr="000C775B">
        <w:rPr>
          <w:rStyle w:val="StyleUnderline"/>
        </w:rPr>
        <w:t xml:space="preserve"> — as much as land theft, rape, genocide, white supremacy, </w:t>
      </w:r>
      <w:r w:rsidRPr="00363272">
        <w:rPr>
          <w:rStyle w:val="StyleUnderline"/>
        </w:rPr>
        <w:t>hierarchy.</w:t>
      </w:r>
    </w:p>
    <w:p w14:paraId="73D545A3" w14:textId="77777777" w:rsidR="00B4170C" w:rsidRPr="000C775B" w:rsidRDefault="00B4170C" w:rsidP="00B4170C">
      <w:pPr>
        <w:rPr>
          <w:i/>
          <w:iCs/>
          <w:sz w:val="16"/>
        </w:rPr>
      </w:pPr>
      <w:r w:rsidRPr="000C775B">
        <w:rPr>
          <w:i/>
          <w:iCs/>
          <w:sz w:val="16"/>
        </w:rPr>
        <w:t>“In a racist society it is not enough to be non-racist — we must be antiracist.” — Angela Davis</w:t>
      </w:r>
    </w:p>
    <w:p w14:paraId="57DD63BE" w14:textId="77777777" w:rsidR="00B4170C" w:rsidRPr="000C775B" w:rsidRDefault="00B4170C" w:rsidP="00B4170C">
      <w:pPr>
        <w:rPr>
          <w:rStyle w:val="StyleUnderline"/>
        </w:rPr>
      </w:pPr>
      <w:r w:rsidRPr="000C775B">
        <w:rPr>
          <w:rStyle w:val="StyleUnderline"/>
          <w:highlight w:val="cyan"/>
        </w:rPr>
        <w:t>What Does it Mean to be Anti-racist?</w:t>
      </w:r>
    </w:p>
    <w:p w14:paraId="63484EA8" w14:textId="77777777" w:rsidR="00B4170C" w:rsidRPr="000C775B" w:rsidRDefault="00B4170C" w:rsidP="00B4170C">
      <w:pPr>
        <w:rPr>
          <w:sz w:val="16"/>
        </w:rPr>
      </w:pPr>
      <w:r w:rsidRPr="000C775B">
        <w:rPr>
          <w:sz w:val="16"/>
        </w:rPr>
        <w:t>It means taking the following actions:</w:t>
      </w:r>
    </w:p>
    <w:p w14:paraId="67FE6CAE" w14:textId="77777777" w:rsidR="00B4170C" w:rsidRPr="000C775B" w:rsidRDefault="00B4170C" w:rsidP="00B4170C">
      <w:pPr>
        <w:rPr>
          <w:rStyle w:val="StyleUnderline"/>
        </w:rPr>
      </w:pPr>
      <w:r w:rsidRPr="000C775B">
        <w:rPr>
          <w:rStyle w:val="StyleUnderline"/>
        </w:rPr>
        <w:t xml:space="preserve">1. </w:t>
      </w:r>
      <w:r w:rsidRPr="000C775B">
        <w:rPr>
          <w:rStyle w:val="StyleUnderline"/>
          <w:highlight w:val="cyan"/>
        </w:rPr>
        <w:t>DECOLONIZING</w:t>
      </w:r>
      <w:r w:rsidRPr="000C775B">
        <w:rPr>
          <w:rStyle w:val="StyleUnderline"/>
        </w:rPr>
        <w:t xml:space="preserve"> </w:t>
      </w:r>
      <w:r w:rsidRPr="000C775B">
        <w:rPr>
          <w:rStyle w:val="StyleUnderline"/>
          <w:highlight w:val="cyan"/>
        </w:rPr>
        <w:t xml:space="preserve">ONE’S </w:t>
      </w:r>
      <w:r w:rsidRPr="000C775B">
        <w:rPr>
          <w:rStyle w:val="StyleUnderline"/>
        </w:rPr>
        <w:t xml:space="preserve">PERSONAL &amp; HOME </w:t>
      </w:r>
      <w:r w:rsidRPr="000C775B">
        <w:rPr>
          <w:rStyle w:val="StyleUnderline"/>
          <w:highlight w:val="cyan"/>
        </w:rPr>
        <w:t>LIFE</w:t>
      </w:r>
    </w:p>
    <w:p w14:paraId="269C2D66" w14:textId="77777777" w:rsidR="00B4170C" w:rsidRPr="000C775B" w:rsidRDefault="00B4170C" w:rsidP="00B4170C">
      <w:pPr>
        <w:rPr>
          <w:rStyle w:val="StyleUnderline"/>
        </w:rPr>
      </w:pPr>
      <w:r w:rsidRPr="000C775B">
        <w:rPr>
          <w:rStyle w:val="StyleUnderline"/>
        </w:rPr>
        <w:t xml:space="preserve">2. </w:t>
      </w:r>
      <w:r w:rsidRPr="000C775B">
        <w:rPr>
          <w:rStyle w:val="StyleUnderline"/>
          <w:highlight w:val="cyan"/>
        </w:rPr>
        <w:t>RECOGNIZING</w:t>
      </w:r>
      <w:r w:rsidRPr="000C775B">
        <w:rPr>
          <w:rStyle w:val="StyleUnderline"/>
        </w:rPr>
        <w:t xml:space="preserve"> ONE’S OWN </w:t>
      </w:r>
      <w:r w:rsidRPr="000C775B">
        <w:rPr>
          <w:rStyle w:val="StyleUnderline"/>
          <w:highlight w:val="cyan"/>
        </w:rPr>
        <w:t>PRIVILEGE</w:t>
      </w:r>
    </w:p>
    <w:p w14:paraId="508661E5" w14:textId="77777777" w:rsidR="00B4170C" w:rsidRPr="000C775B" w:rsidRDefault="00B4170C" w:rsidP="00B4170C">
      <w:pPr>
        <w:rPr>
          <w:rStyle w:val="StyleUnderline"/>
        </w:rPr>
      </w:pPr>
      <w:r w:rsidRPr="000C775B">
        <w:rPr>
          <w:rStyle w:val="StyleUnderline"/>
        </w:rPr>
        <w:t xml:space="preserve">3. </w:t>
      </w:r>
      <w:r w:rsidRPr="000C775B">
        <w:rPr>
          <w:rStyle w:val="StyleUnderline"/>
          <w:highlight w:val="cyan"/>
        </w:rPr>
        <w:t>DISRUPTING ANTI-BLACKNESS</w:t>
      </w:r>
      <w:r w:rsidRPr="000C775B">
        <w:rPr>
          <w:rStyle w:val="StyleUnderline"/>
        </w:rPr>
        <w:t xml:space="preserve"> EVERYWHERE</w:t>
      </w:r>
    </w:p>
    <w:p w14:paraId="4E665EBD" w14:textId="77777777" w:rsidR="00B4170C" w:rsidRPr="000C775B" w:rsidRDefault="00B4170C" w:rsidP="00B4170C">
      <w:pPr>
        <w:rPr>
          <w:sz w:val="16"/>
        </w:rPr>
      </w:pPr>
      <w:r w:rsidRPr="000C775B">
        <w:rPr>
          <w:sz w:val="16"/>
        </w:rPr>
        <w:t xml:space="preserve">In action, the praxis of being anti-racist is a </w:t>
      </w:r>
      <w:r w:rsidRPr="000C775B">
        <w:rPr>
          <w:i/>
          <w:iCs/>
          <w:sz w:val="16"/>
        </w:rPr>
        <w:t>lifelong</w:t>
      </w:r>
      <w:r w:rsidRPr="000C775B">
        <w:rPr>
          <w:sz w:val="16"/>
        </w:rPr>
        <w:t xml:space="preserve"> process and unending series of practices, experiments upon oneself, developmental exercises, personal risks, education, labor, exchanges, pauses, etc. The actual steps are as diverse as they are multitudinous. For example, I’d be remiss if I didn’t mention:</w:t>
      </w:r>
    </w:p>
    <w:p w14:paraId="484D5C9D" w14:textId="77777777" w:rsidR="00B4170C" w:rsidRPr="000C775B" w:rsidRDefault="00B4170C" w:rsidP="00B4170C">
      <w:pPr>
        <w:rPr>
          <w:rStyle w:val="StyleUnderline"/>
        </w:rPr>
      </w:pPr>
      <w:r w:rsidRPr="000C775B">
        <w:rPr>
          <w:rStyle w:val="StyleUnderline"/>
        </w:rPr>
        <w:t xml:space="preserve">4. </w:t>
      </w:r>
      <w:r w:rsidRPr="000C775B">
        <w:rPr>
          <w:rStyle w:val="StyleUnderline"/>
          <w:highlight w:val="cyan"/>
        </w:rPr>
        <w:t>UNLEARNING</w:t>
      </w:r>
      <w:r w:rsidRPr="000C775B">
        <w:rPr>
          <w:rStyle w:val="StyleUnderline"/>
        </w:rPr>
        <w:t xml:space="preserve"> THE </w:t>
      </w:r>
      <w:r w:rsidRPr="000C775B">
        <w:rPr>
          <w:rStyle w:val="StyleUnderline"/>
          <w:highlight w:val="cyan"/>
        </w:rPr>
        <w:t>GENDER BINARY</w:t>
      </w:r>
      <w:r w:rsidRPr="000C775B">
        <w:rPr>
          <w:rStyle w:val="StyleUnderline"/>
        </w:rPr>
        <w:t xml:space="preserve"> and</w:t>
      </w:r>
    </w:p>
    <w:p w14:paraId="5AE6D8B6" w14:textId="77777777" w:rsidR="00B4170C" w:rsidRPr="000C775B" w:rsidRDefault="00B4170C" w:rsidP="00B4170C">
      <w:pPr>
        <w:rPr>
          <w:rStyle w:val="StyleUnderline"/>
        </w:rPr>
      </w:pPr>
      <w:r w:rsidRPr="000C775B">
        <w:rPr>
          <w:rStyle w:val="StyleUnderline"/>
        </w:rPr>
        <w:t xml:space="preserve">5. </w:t>
      </w:r>
      <w:r w:rsidRPr="000C775B">
        <w:rPr>
          <w:rStyle w:val="StyleUnderline"/>
          <w:highlight w:val="cyan"/>
        </w:rPr>
        <w:t>RESPECTING</w:t>
      </w:r>
      <w:r w:rsidRPr="000C775B">
        <w:rPr>
          <w:rStyle w:val="StyleUnderline"/>
        </w:rPr>
        <w:t xml:space="preserve"> ( SUPPORTING, LISTENING TO) WOMXN+ / </w:t>
      </w:r>
      <w:r w:rsidRPr="000C775B">
        <w:rPr>
          <w:rStyle w:val="StyleUnderline"/>
          <w:highlight w:val="cyan"/>
        </w:rPr>
        <w:t>femmes</w:t>
      </w:r>
      <w:r w:rsidRPr="000C775B">
        <w:rPr>
          <w:rStyle w:val="StyleUnderline"/>
        </w:rPr>
        <w:t>, feminine energies, beings, bodies, words, spaces, practices, and actions.</w:t>
      </w:r>
    </w:p>
    <w:p w14:paraId="6514AA9D" w14:textId="77777777" w:rsidR="00B4170C" w:rsidRPr="000C775B" w:rsidRDefault="00B4170C" w:rsidP="00B4170C">
      <w:pPr>
        <w:rPr>
          <w:rStyle w:val="StyleUnderline"/>
        </w:rPr>
      </w:pPr>
      <w:r w:rsidRPr="000C775B">
        <w:rPr>
          <w:rStyle w:val="StyleUnderline"/>
          <w:highlight w:val="cyan"/>
        </w:rPr>
        <w:t>Anti-racism</w:t>
      </w:r>
      <w:r w:rsidRPr="000C775B">
        <w:rPr>
          <w:rStyle w:val="StyleUnderline"/>
        </w:rPr>
        <w:t xml:space="preserve"> in the United States and/or on Turtle Island necessarily, critically, </w:t>
      </w:r>
      <w:r w:rsidRPr="000C775B">
        <w:rPr>
          <w:rStyle w:val="Emphasis"/>
          <w:highlight w:val="cyan"/>
        </w:rPr>
        <w:t>crucially</w:t>
      </w:r>
      <w:r w:rsidRPr="000C775B">
        <w:rPr>
          <w:rStyle w:val="StyleUnderline"/>
          <w:highlight w:val="cyan"/>
        </w:rPr>
        <w:t xml:space="preserve"> involves the above acts</w:t>
      </w:r>
      <w:r w:rsidRPr="000C775B">
        <w:rPr>
          <w:rStyle w:val="StyleUnderline"/>
        </w:rPr>
        <w:t xml:space="preserve"> (I’d argue that they are in fact globally required), </w:t>
      </w:r>
      <w:r w:rsidRPr="000C775B">
        <w:rPr>
          <w:rStyle w:val="StyleUnderline"/>
          <w:highlight w:val="cyan"/>
        </w:rPr>
        <w:t>in addition to</w:t>
      </w:r>
      <w:r w:rsidRPr="000C775B">
        <w:rPr>
          <w:rStyle w:val="StyleUnderline"/>
        </w:rPr>
        <w:t xml:space="preserve"> explicitly carrying out </w:t>
      </w:r>
    </w:p>
    <w:p w14:paraId="64E22379" w14:textId="77777777" w:rsidR="00B4170C" w:rsidRPr="000C775B" w:rsidRDefault="00B4170C" w:rsidP="00B4170C">
      <w:pPr>
        <w:rPr>
          <w:rStyle w:val="StyleUnderline"/>
        </w:rPr>
      </w:pPr>
      <w:r w:rsidRPr="000C775B">
        <w:rPr>
          <w:sz w:val="16"/>
        </w:rPr>
        <w:t xml:space="preserve">1. </w:t>
      </w:r>
      <w:r w:rsidRPr="000C775B">
        <w:rPr>
          <w:rStyle w:val="StyleUnderline"/>
          <w:highlight w:val="cyan"/>
        </w:rPr>
        <w:t>Acknowledgment of Native Indigenous land sovereignty</w:t>
      </w:r>
      <w:r w:rsidRPr="000C775B">
        <w:rPr>
          <w:rStyle w:val="StyleUnderline"/>
        </w:rPr>
        <w:t xml:space="preserve"> and our presence </w:t>
      </w:r>
      <w:r w:rsidRPr="000C775B">
        <w:rPr>
          <w:rStyle w:val="StyleUnderline"/>
          <w:highlight w:val="cyan"/>
        </w:rPr>
        <w:t>on un-ceded territories</w:t>
      </w:r>
      <w:r w:rsidRPr="000C775B">
        <w:rPr>
          <w:rStyle w:val="StyleUnderline"/>
        </w:rPr>
        <w:t>, inheritors of settler colonialism. This involves learning and self-education on the Indigenous people native to the land where you reside — locally and continentally. Find out their names, to begin. Listen to, defer to, respect and pay Indigenous people. This is a lesson applicable worldwide.</w:t>
      </w:r>
    </w:p>
    <w:p w14:paraId="5277BC03" w14:textId="77777777" w:rsidR="00B4170C" w:rsidRPr="000C775B" w:rsidRDefault="00B4170C" w:rsidP="00B4170C">
      <w:pPr>
        <w:rPr>
          <w:rStyle w:val="StyleUnderline"/>
        </w:rPr>
      </w:pPr>
      <w:r w:rsidRPr="000C775B">
        <w:rPr>
          <w:sz w:val="16"/>
        </w:rPr>
        <w:t xml:space="preserve">2. </w:t>
      </w:r>
      <w:r w:rsidRPr="000C775B">
        <w:rPr>
          <w:rStyle w:val="StyleUnderline"/>
          <w:highlight w:val="cyan"/>
        </w:rPr>
        <w:t>Acknowledgment of the enslavement of Black ancestors and everything</w:t>
      </w:r>
      <w:r w:rsidRPr="000C775B">
        <w:rPr>
          <w:rStyle w:val="StyleUnderline"/>
        </w:rPr>
        <w:t xml:space="preserve"> that has </w:t>
      </w:r>
      <w:r w:rsidRPr="000C775B">
        <w:rPr>
          <w:rStyle w:val="StyleUnderline"/>
          <w:highlight w:val="cyan"/>
        </w:rPr>
        <w:t>entailed</w:t>
      </w:r>
      <w:r w:rsidRPr="000C775B">
        <w:rPr>
          <w:rStyle w:val="StyleUnderline"/>
        </w:rPr>
        <w:t xml:space="preserve"> and enabled </w:t>
      </w:r>
      <w:r w:rsidRPr="000C775B">
        <w:rPr>
          <w:rStyle w:val="StyleUnderline"/>
          <w:highlight w:val="cyan"/>
        </w:rPr>
        <w:t>against people of the African Diaspora</w:t>
      </w:r>
      <w:r w:rsidRPr="000C775B">
        <w:rPr>
          <w:rStyle w:val="StyleUnderline"/>
        </w:rPr>
        <w:t xml:space="preserve"> and their descendants in the Americas/ Turtle Island, and Black people worldwide. The peculiarly cruel racism experienced by Black people, especially in the US, but also globally is among the worst and most noxious forms of violent white supremacy that ever existed. This cannot be said or emphasized enough. </w:t>
      </w:r>
    </w:p>
    <w:p w14:paraId="56749DE0" w14:textId="77777777" w:rsidR="00B4170C" w:rsidRPr="000C775B" w:rsidRDefault="00B4170C" w:rsidP="00B4170C">
      <w:pPr>
        <w:rPr>
          <w:rStyle w:val="StyleUnderline"/>
        </w:rPr>
      </w:pPr>
      <w:r w:rsidRPr="000C775B">
        <w:rPr>
          <w:rStyle w:val="StyleUnderline"/>
        </w:rPr>
        <w:t xml:space="preserve">Along with the </w:t>
      </w:r>
      <w:r w:rsidRPr="000C775B">
        <w:rPr>
          <w:rStyle w:val="StyleUnderline"/>
          <w:highlight w:val="cyan"/>
        </w:rPr>
        <w:t>genocide of</w:t>
      </w:r>
      <w:r w:rsidRPr="000C775B">
        <w:rPr>
          <w:rStyle w:val="StyleUnderline"/>
        </w:rPr>
        <w:t xml:space="preserve">, and land theft from, </w:t>
      </w:r>
      <w:r w:rsidRPr="000C775B">
        <w:rPr>
          <w:rStyle w:val="StyleUnderline"/>
          <w:highlight w:val="cyan"/>
        </w:rPr>
        <w:t>Native Americans</w:t>
      </w:r>
      <w:r w:rsidRPr="000C775B">
        <w:rPr>
          <w:rStyle w:val="StyleUnderline"/>
        </w:rPr>
        <w:t xml:space="preserve">, this </w:t>
      </w:r>
      <w:r w:rsidRPr="000C775B">
        <w:rPr>
          <w:rStyle w:val="StyleUnderline"/>
          <w:highlight w:val="cyan"/>
        </w:rPr>
        <w:t>vicious</w:t>
      </w:r>
      <w:r w:rsidRPr="000C775B">
        <w:rPr>
          <w:rStyle w:val="StyleUnderline"/>
        </w:rPr>
        <w:t xml:space="preserve">, violent, </w:t>
      </w:r>
      <w:r w:rsidRPr="000C775B">
        <w:rPr>
          <w:rStyle w:val="StyleUnderline"/>
          <w:highlight w:val="cyan"/>
        </w:rPr>
        <w:t>anti-Black, white supremacy</w:t>
      </w:r>
      <w:r w:rsidRPr="000C775B">
        <w:rPr>
          <w:rStyle w:val="StyleUnderline"/>
        </w:rPr>
        <w:t xml:space="preserve"> is both the </w:t>
      </w:r>
      <w:r w:rsidRPr="000C775B">
        <w:rPr>
          <w:rStyle w:val="StyleUnderline"/>
          <w:highlight w:val="cyan"/>
        </w:rPr>
        <w:t>origin</w:t>
      </w:r>
      <w:r w:rsidRPr="000C775B">
        <w:rPr>
          <w:rStyle w:val="StyleUnderline"/>
        </w:rPr>
        <w:t xml:space="preserve"> and the basis </w:t>
      </w:r>
      <w:r w:rsidRPr="000C775B">
        <w:rPr>
          <w:rStyle w:val="StyleUnderline"/>
          <w:highlight w:val="cyan"/>
        </w:rPr>
        <w:t>of the hegemonic</w:t>
      </w:r>
      <w:r w:rsidRPr="000C775B">
        <w:rPr>
          <w:rStyle w:val="StyleUnderline"/>
        </w:rPr>
        <w:t xml:space="preserve">, hyper-capitalist </w:t>
      </w:r>
      <w:r w:rsidRPr="000C775B">
        <w:rPr>
          <w:rStyle w:val="StyleUnderline"/>
          <w:highlight w:val="cyan"/>
        </w:rPr>
        <w:t>white</w:t>
      </w:r>
      <w:r w:rsidRPr="000C775B">
        <w:rPr>
          <w:rStyle w:val="StyleUnderline"/>
        </w:rPr>
        <w:t xml:space="preserve"> </w:t>
      </w:r>
      <w:r w:rsidRPr="000C775B">
        <w:rPr>
          <w:rStyle w:val="StyleUnderline"/>
          <w:highlight w:val="cyan"/>
        </w:rPr>
        <w:t>supremacy that is destroying our planet</w:t>
      </w:r>
      <w:r w:rsidRPr="000C775B">
        <w:rPr>
          <w:rStyle w:val="StyleUnderline"/>
        </w:rPr>
        <w:t xml:space="preserve"> (from the ground up) and deliberately destabilizing communities and cultures of color around the world.</w:t>
      </w:r>
    </w:p>
    <w:p w14:paraId="52D96B99" w14:textId="77777777" w:rsidR="00B4170C" w:rsidRPr="000C775B" w:rsidRDefault="00B4170C" w:rsidP="00B4170C">
      <w:pPr>
        <w:rPr>
          <w:sz w:val="16"/>
        </w:rPr>
      </w:pPr>
      <w:r w:rsidRPr="000C775B">
        <w:rPr>
          <w:sz w:val="16"/>
        </w:rPr>
        <w:t>The US war power that so many decry, lament, and protest, righteously and passionately — was and still is developed, tested, strengthened, and emboldened by oppressing, enslaving, and dehumanizing Black people, of African descent, over and over and over again (worldwide).</w:t>
      </w:r>
    </w:p>
    <w:p w14:paraId="7A01A286" w14:textId="77777777" w:rsidR="00B4170C" w:rsidRPr="000C775B" w:rsidRDefault="00B4170C" w:rsidP="00B4170C">
      <w:pPr>
        <w:rPr>
          <w:sz w:val="16"/>
        </w:rPr>
      </w:pPr>
      <w:r w:rsidRPr="000C775B">
        <w:rPr>
          <w:sz w:val="16"/>
        </w:rPr>
        <w:t xml:space="preserve">Your job as an aspiring anti-racist accomplice (whether white or non-black people of color, but especially if you are white presenting) to begin is to educate yourself on Black history, via the voices of black people living and dead, of all genders and walks of life, and very importantly to pay reparations to black people. </w:t>
      </w:r>
    </w:p>
    <w:p w14:paraId="2BC4D5A2" w14:textId="77777777" w:rsidR="00B4170C" w:rsidRPr="00363272" w:rsidRDefault="00B4170C" w:rsidP="00B4170C">
      <w:pPr>
        <w:rPr>
          <w:sz w:val="16"/>
        </w:rPr>
      </w:pPr>
      <w:r w:rsidRPr="00363272">
        <w:rPr>
          <w:sz w:val="16"/>
        </w:rPr>
        <w:lastRenderedPageBreak/>
        <w:t>You can start by paying the black people and organizations who educate you about our history. You may also pay reparations directly to any Black American who accepts. I recommend setting aside a regular recurring amount of money in your budget for this purpose. If you feel lost on where to start giving I cannot recommend</w:t>
      </w:r>
      <w:r w:rsidRPr="00363272">
        <w:rPr>
          <w:color w:val="000000" w:themeColor="text1"/>
          <w:sz w:val="14"/>
        </w:rPr>
        <w:t xml:space="preserve"> the </w:t>
      </w:r>
      <w:hyperlink r:id="rId90" w:history="1">
        <w:r w:rsidRPr="00363272">
          <w:rPr>
            <w:rStyle w:val="Hyperlink"/>
            <w:color w:val="000000" w:themeColor="text1"/>
            <w:sz w:val="14"/>
          </w:rPr>
          <w:t>FB group “Reparations: Requests &amp; Offerings”</w:t>
        </w:r>
      </w:hyperlink>
      <w:r w:rsidRPr="00363272">
        <w:rPr>
          <w:sz w:val="16"/>
        </w:rPr>
        <w:t xml:space="preserve"> highly enough.</w:t>
      </w:r>
    </w:p>
    <w:p w14:paraId="39447182" w14:textId="77777777" w:rsidR="00B4170C" w:rsidRDefault="00B4170C" w:rsidP="00B4170C">
      <w:pPr>
        <w:pStyle w:val="Heading4"/>
      </w:pPr>
      <w:r>
        <w:t>Archival erasure of gender non-conforming people of color defines gender &amp; queerness in a white masculine narrative reproducing into historical isolation.</w:t>
      </w:r>
    </w:p>
    <w:p w14:paraId="11C350E9" w14:textId="77777777" w:rsidR="00B4170C" w:rsidRDefault="00B4170C" w:rsidP="00B4170C">
      <w:r w:rsidRPr="009278B5">
        <w:t xml:space="preserve">Rebekkah </w:t>
      </w:r>
      <w:r w:rsidRPr="009278B5">
        <w:rPr>
          <w:rStyle w:val="Style13ptBold"/>
        </w:rPr>
        <w:t>Mulholland</w:t>
      </w:r>
      <w:r>
        <w:t xml:space="preserve"> </w:t>
      </w:r>
      <w:r w:rsidRPr="009278B5">
        <w:rPr>
          <w:rStyle w:val="Style13ptBold"/>
        </w:rPr>
        <w:t>20</w:t>
      </w:r>
      <w:r>
        <w:t xml:space="preserve">, </w:t>
      </w:r>
      <w:r w:rsidRPr="009278B5">
        <w:t>Dr. Rebekkah Mulholland is a former graduate assistant at the Benjamin L. Hooks Institute for Social Change. Currently, Mulholland is an Assistant Professor of History at California State University at Sacramento, where Mullholland makes a conscious effort to incorporate Memphis history into their curriculum</w:t>
      </w:r>
      <w:r>
        <w:t>, May 2020, “</w:t>
      </w:r>
      <w:r w:rsidRPr="009278B5">
        <w:t>HISTORICAL ERASURE IS VIOLENCE: THE LIVES AND EXPERIENCES OF BLACK TRANSGENDER WOMEN AND GENDER NONCONFORMING WOMEN OF COLOR IN THE 19TH AND 20TH CENTURY</w:t>
      </w:r>
      <w:r>
        <w:t xml:space="preserve">”, University of Memphis, </w:t>
      </w:r>
      <w:hyperlink r:id="rId91" w:history="1">
        <w:r w:rsidRPr="003275F3">
          <w:rPr>
            <w:rStyle w:val="Hyperlink"/>
          </w:rPr>
          <w:t>https://digitalcommons.memphis.edu/etd/2689/</w:t>
        </w:r>
      </w:hyperlink>
      <w:r>
        <w:t>, //Irene</w:t>
      </w:r>
    </w:p>
    <w:p w14:paraId="0D03B577" w14:textId="77777777" w:rsidR="00B4170C" w:rsidRDefault="00B4170C" w:rsidP="00B4170C">
      <w:r w:rsidRPr="009278B5">
        <w:t xml:space="preserve">In October of 2017, Netflix released a much-anticipated documentary, The Death and Life of Marsha P. Johnson. The release of the film was met with questions as to whether the filmmaker, David France, had stolen parts of this work from transgender activist, scholar, and filmmaker Tourmaline, who had spent a lot of time finding and researching materials on Johnson, a slain black transgender activist and performer.1 In response to this release, </w:t>
      </w:r>
      <w:r w:rsidRPr="003A0E87">
        <w:rPr>
          <w:rStyle w:val="StyleUnderline"/>
          <w:highlight w:val="cyan"/>
        </w:rPr>
        <w:t>Tourmaline</w:t>
      </w:r>
      <w:r w:rsidRPr="005B55FE">
        <w:rPr>
          <w:rStyle w:val="StyleUnderline"/>
        </w:rPr>
        <w:t xml:space="preserve"> took to social media </w:t>
      </w:r>
      <w:r w:rsidRPr="003A0E87">
        <w:rPr>
          <w:rStyle w:val="StyleUnderline"/>
          <w:highlight w:val="cyan"/>
        </w:rPr>
        <w:t>claiming</w:t>
      </w:r>
      <w:r w:rsidRPr="005B55FE">
        <w:rPr>
          <w:rStyle w:val="StyleUnderline"/>
        </w:rPr>
        <w:t xml:space="preserve"> that </w:t>
      </w:r>
      <w:r w:rsidRPr="003A0E87">
        <w:rPr>
          <w:rStyle w:val="StyleUnderline"/>
          <w:highlight w:val="cyan"/>
        </w:rPr>
        <w:t>France</w:t>
      </w:r>
      <w:r w:rsidRPr="005B55FE">
        <w:rPr>
          <w:rStyle w:val="StyleUnderline"/>
        </w:rPr>
        <w:t xml:space="preserve"> </w:t>
      </w:r>
      <w:r w:rsidRPr="003A0E87">
        <w:rPr>
          <w:rStyle w:val="StyleUnderline"/>
          <w:highlight w:val="cyan"/>
        </w:rPr>
        <w:t>stole</w:t>
      </w:r>
      <w:r w:rsidRPr="005B55FE">
        <w:rPr>
          <w:rStyle w:val="StyleUnderline"/>
        </w:rPr>
        <w:t xml:space="preserve"> her </w:t>
      </w:r>
      <w:r w:rsidRPr="003A0E87">
        <w:rPr>
          <w:rStyle w:val="StyleUnderline"/>
          <w:highlight w:val="cyan"/>
        </w:rPr>
        <w:t>archival</w:t>
      </w:r>
      <w:r w:rsidRPr="005B55FE">
        <w:rPr>
          <w:rStyle w:val="StyleUnderline"/>
        </w:rPr>
        <w:t xml:space="preserve"> </w:t>
      </w:r>
      <w:r w:rsidRPr="003A0E87">
        <w:rPr>
          <w:rStyle w:val="StyleUnderline"/>
          <w:highlight w:val="cyan"/>
        </w:rPr>
        <w:t>research</w:t>
      </w:r>
      <w:r w:rsidRPr="005B55FE">
        <w:rPr>
          <w:rStyle w:val="StyleUnderline"/>
        </w:rPr>
        <w:t xml:space="preserve"> and capitalized on her ideas.2 She addressed these allegations and also spoke about the importance of telling stories like Johnson’s, stating, “So much of what Marsha had to deal with remains a reality for many of us. </w:t>
      </w:r>
      <w:r w:rsidRPr="003A0E87">
        <w:rPr>
          <w:rStyle w:val="StyleUnderline"/>
          <w:highlight w:val="cyan"/>
        </w:rPr>
        <w:t>Marsha’s</w:t>
      </w:r>
      <w:r w:rsidRPr="005B55FE">
        <w:rPr>
          <w:rStyle w:val="StyleUnderline"/>
        </w:rPr>
        <w:t xml:space="preserve"> </w:t>
      </w:r>
      <w:r w:rsidRPr="003A0E87">
        <w:rPr>
          <w:rStyle w:val="StyleUnderline"/>
          <w:highlight w:val="cyan"/>
        </w:rPr>
        <w:t>history</w:t>
      </w:r>
      <w:r w:rsidRPr="005B55FE">
        <w:rPr>
          <w:rStyle w:val="StyleUnderline"/>
        </w:rPr>
        <w:t xml:space="preserve"> has </w:t>
      </w:r>
      <w:r w:rsidRPr="003A0E87">
        <w:rPr>
          <w:rStyle w:val="StyleUnderline"/>
          <w:highlight w:val="cyan"/>
        </w:rPr>
        <w:t>helped</w:t>
      </w:r>
      <w:r w:rsidRPr="005B55FE">
        <w:rPr>
          <w:rStyle w:val="StyleUnderline"/>
        </w:rPr>
        <w:t xml:space="preserve"> me </w:t>
      </w:r>
      <w:r w:rsidRPr="003A0E87">
        <w:rPr>
          <w:rStyle w:val="StyleUnderline"/>
          <w:highlight w:val="cyan"/>
        </w:rPr>
        <w:t>make</w:t>
      </w:r>
      <w:r w:rsidRPr="005B55FE">
        <w:rPr>
          <w:rStyle w:val="StyleUnderline"/>
        </w:rPr>
        <w:t xml:space="preserve"> plain the </w:t>
      </w:r>
      <w:r w:rsidRPr="003A0E87">
        <w:rPr>
          <w:rStyle w:val="StyleUnderline"/>
          <w:highlight w:val="cyan"/>
        </w:rPr>
        <w:t>connections</w:t>
      </w:r>
      <w:r w:rsidRPr="005B55FE">
        <w:rPr>
          <w:rStyle w:val="StyleUnderline"/>
        </w:rPr>
        <w:t xml:space="preserve"> </w:t>
      </w:r>
      <w:r w:rsidRPr="003A0E87">
        <w:rPr>
          <w:rStyle w:val="StyleUnderline"/>
          <w:highlight w:val="cyan"/>
        </w:rPr>
        <w:t>between</w:t>
      </w:r>
      <w:r w:rsidRPr="005B55FE">
        <w:rPr>
          <w:rStyle w:val="StyleUnderline"/>
        </w:rPr>
        <w:t xml:space="preserve"> </w:t>
      </w:r>
      <w:r w:rsidRPr="003A0E87">
        <w:rPr>
          <w:rStyle w:val="StyleUnderline"/>
        </w:rPr>
        <w:t>historical</w:t>
      </w:r>
      <w:r w:rsidRPr="005B55FE">
        <w:rPr>
          <w:rStyle w:val="StyleUnderline"/>
        </w:rPr>
        <w:t xml:space="preserve"> </w:t>
      </w:r>
      <w:r w:rsidRPr="003A0E87">
        <w:rPr>
          <w:rStyle w:val="StyleUnderline"/>
          <w:highlight w:val="cyan"/>
        </w:rPr>
        <w:t>erasure</w:t>
      </w:r>
      <w:r w:rsidRPr="005B55FE">
        <w:rPr>
          <w:rStyle w:val="StyleUnderline"/>
        </w:rPr>
        <w:t xml:space="preserve"> of trans women of color from the queer movement, </w:t>
      </w:r>
      <w:r w:rsidRPr="003A0E87">
        <w:rPr>
          <w:rStyle w:val="StyleUnderline"/>
          <w:highlight w:val="cyan"/>
        </w:rPr>
        <w:t>and</w:t>
      </w:r>
      <w:r w:rsidRPr="005B55FE">
        <w:rPr>
          <w:rStyle w:val="StyleUnderline"/>
        </w:rPr>
        <w:t xml:space="preserve"> </w:t>
      </w:r>
      <w:r w:rsidRPr="003A0E87">
        <w:rPr>
          <w:rStyle w:val="StyleUnderline"/>
          <w:highlight w:val="cyan"/>
        </w:rPr>
        <w:t>contemporary</w:t>
      </w:r>
      <w:r w:rsidRPr="005B55FE">
        <w:rPr>
          <w:rStyle w:val="StyleUnderline"/>
        </w:rPr>
        <w:t xml:space="preserve"> forms of </w:t>
      </w:r>
      <w:r w:rsidRPr="003A0E87">
        <w:rPr>
          <w:rStyle w:val="StyleUnderline"/>
          <w:highlight w:val="cyan"/>
        </w:rPr>
        <w:t>antiblack</w:t>
      </w:r>
      <w:r w:rsidRPr="005B55FE">
        <w:rPr>
          <w:rStyle w:val="StyleUnderline"/>
        </w:rPr>
        <w:t xml:space="preserve"> </w:t>
      </w:r>
      <w:r w:rsidRPr="003A0E87">
        <w:rPr>
          <w:rStyle w:val="StyleUnderline"/>
          <w:highlight w:val="cyan"/>
        </w:rPr>
        <w:t>transphobic</w:t>
      </w:r>
      <w:r w:rsidRPr="005B55FE">
        <w:rPr>
          <w:rStyle w:val="StyleUnderline"/>
        </w:rPr>
        <w:t xml:space="preserve"> </w:t>
      </w:r>
      <w:r w:rsidRPr="003A0E87">
        <w:rPr>
          <w:rStyle w:val="StyleUnderline"/>
          <w:highlight w:val="cyan"/>
        </w:rPr>
        <w:t>violence</w:t>
      </w:r>
      <w:r w:rsidRPr="005B55FE">
        <w:rPr>
          <w:rStyle w:val="StyleUnderline"/>
        </w:rPr>
        <w:t xml:space="preserve"> happening today.”3 She viewed this </w:t>
      </w:r>
      <w:r w:rsidRPr="003A0E87">
        <w:rPr>
          <w:rStyle w:val="StyleUnderline"/>
          <w:highlight w:val="cyan"/>
        </w:rPr>
        <w:t>erasure as a form of violence.</w:t>
      </w:r>
      <w:r w:rsidRPr="009278B5">
        <w:t xml:space="preserve"> With the work and </w:t>
      </w:r>
      <w:r w:rsidRPr="003A0E87">
        <w:rPr>
          <w:rStyle w:val="StyleUnderline"/>
          <w:highlight w:val="cyan"/>
        </w:rPr>
        <w:t>legacies</w:t>
      </w:r>
      <w:r w:rsidRPr="005B55FE">
        <w:rPr>
          <w:rStyle w:val="StyleUnderline"/>
        </w:rPr>
        <w:t xml:space="preserve"> of </w:t>
      </w:r>
      <w:r w:rsidRPr="003A0E87">
        <w:rPr>
          <w:rStyle w:val="StyleUnderline"/>
          <w:highlight w:val="cyan"/>
        </w:rPr>
        <w:t>gender</w:t>
      </w:r>
      <w:r w:rsidRPr="005B55FE">
        <w:rPr>
          <w:rStyle w:val="StyleUnderline"/>
        </w:rPr>
        <w:t xml:space="preserve"> </w:t>
      </w:r>
      <w:r w:rsidRPr="003A0E87">
        <w:rPr>
          <w:rStyle w:val="StyleUnderline"/>
          <w:highlight w:val="cyan"/>
        </w:rPr>
        <w:t>nonconforming</w:t>
      </w:r>
      <w:r w:rsidRPr="005B55FE">
        <w:rPr>
          <w:rStyle w:val="StyleUnderline"/>
        </w:rPr>
        <w:t xml:space="preserve"> </w:t>
      </w:r>
      <w:r w:rsidRPr="003A0E87">
        <w:rPr>
          <w:rStyle w:val="StyleUnderline"/>
          <w:highlight w:val="cyan"/>
        </w:rPr>
        <w:t>women of color</w:t>
      </w:r>
      <w:r w:rsidRPr="005B55FE">
        <w:rPr>
          <w:rStyle w:val="StyleUnderline"/>
        </w:rPr>
        <w:t xml:space="preserve"> mostly </w:t>
      </w:r>
      <w:r w:rsidRPr="003A0E87">
        <w:rPr>
          <w:rStyle w:val="StyleUnderline"/>
          <w:highlight w:val="cyan"/>
        </w:rPr>
        <w:t>absent</w:t>
      </w:r>
      <w:r w:rsidRPr="005B55FE">
        <w:rPr>
          <w:rStyle w:val="StyleUnderline"/>
        </w:rPr>
        <w:t xml:space="preserve"> </w:t>
      </w:r>
      <w:r w:rsidRPr="003A0E87">
        <w:rPr>
          <w:rStyle w:val="StyleUnderline"/>
          <w:highlight w:val="cyan"/>
        </w:rPr>
        <w:t>from</w:t>
      </w:r>
      <w:r w:rsidRPr="005B55FE">
        <w:rPr>
          <w:rStyle w:val="StyleUnderline"/>
        </w:rPr>
        <w:t xml:space="preserve"> the </w:t>
      </w:r>
      <w:r w:rsidRPr="003A0E87">
        <w:rPr>
          <w:rStyle w:val="StyleUnderline"/>
          <w:highlight w:val="cyan"/>
        </w:rPr>
        <w:t>archives</w:t>
      </w:r>
      <w:r w:rsidRPr="005B55FE">
        <w:rPr>
          <w:rStyle w:val="StyleUnderline"/>
        </w:rPr>
        <w:t xml:space="preserve">, people like Tourmaline are not able to connect with the past, </w:t>
      </w:r>
      <w:r w:rsidRPr="003A0E87">
        <w:rPr>
          <w:rStyle w:val="StyleUnderline"/>
          <w:highlight w:val="cyan"/>
        </w:rPr>
        <w:t>leading to historical isolation</w:t>
      </w:r>
      <w:r w:rsidRPr="005B55FE">
        <w:rPr>
          <w:rStyle w:val="StyleUnderline"/>
        </w:rPr>
        <w:t>. Further, when the work of women like Tourmaline being pilfered, it demonstrated multiple levels of rhetorical violence.</w:t>
      </w:r>
    </w:p>
    <w:p w14:paraId="62556042" w14:textId="77777777" w:rsidR="00B4170C" w:rsidRDefault="00B4170C" w:rsidP="00B4170C">
      <w:r w:rsidRPr="009278B5">
        <w:t>The 21st century has provided transgender or non-conforming individuals opportunities to be seen and heard in ways that had not been available. With a close examination and critical inquiry through the intersection of race, gender, class, and sexuality, we broaden our historical understandings of black transgender women. It allows for critical conversations about the lives of transgender and gender nonconforming individuals, providing space for the normalization of their bodies. The twentieth century has demonstrated a shift in queer history from gender inversion to sexual identity. The subjects in this dissertation reinforce this notion. They give alternative notions of gender and defeat the dichotomy between hetero/homosexuality by demonstrating a broader spectrum of queer identities. I provide numerous examples of the application of queerness through the lived experiences of the historical actors in this work. These h</w:t>
      </w:r>
      <w:r w:rsidRPr="005B55FE">
        <w:rPr>
          <w:rStyle w:val="StyleUnderline"/>
        </w:rPr>
        <w:t>istorical actors have been excluded from gender and racial discourse, with wide-ranging implicaitons.</w:t>
      </w:r>
    </w:p>
    <w:p w14:paraId="005AAF81" w14:textId="77777777" w:rsidR="00B4170C" w:rsidRDefault="00B4170C" w:rsidP="00B4170C">
      <w:r w:rsidRPr="009278B5">
        <w:t>Project Description</w:t>
      </w:r>
    </w:p>
    <w:p w14:paraId="320B8E14" w14:textId="77777777" w:rsidR="00B4170C" w:rsidRDefault="00B4170C" w:rsidP="00B4170C">
      <w:pPr>
        <w:rPr>
          <w:rStyle w:val="StyleUnderline"/>
        </w:rPr>
      </w:pPr>
      <w:r w:rsidRPr="009278B5">
        <w:t xml:space="preserve">This dissertation seeks to </w:t>
      </w:r>
      <w:r w:rsidRPr="005B55FE">
        <w:rPr>
          <w:rStyle w:val="StyleUnderline"/>
        </w:rPr>
        <w:t>examine the lives of black transgender women and gender nonconforming women of color, the violence they faced because of their gender identity, their performances both gender and theatrical, and their labor, and the radical tools of resistance they employed to challenge meanings of respectability.</w:t>
      </w:r>
      <w:r w:rsidRPr="009278B5">
        <w:t xml:space="preserve"> This work reaches back to the 19th century and mostly focuses on the entire 20th century. It seeks to answer questions such as, “What barriers did black transgender women and gender nonconforming women of color face?” and “What role did they play in overcoming those barriers?” </w:t>
      </w:r>
      <w:r w:rsidRPr="003A0E87">
        <w:rPr>
          <w:rStyle w:val="StyleUnderline"/>
        </w:rPr>
        <w:t>Hostility</w:t>
      </w:r>
      <w:r w:rsidRPr="005B55FE">
        <w:rPr>
          <w:rStyle w:val="StyleUnderline"/>
        </w:rPr>
        <w:t xml:space="preserve"> and </w:t>
      </w:r>
      <w:r w:rsidRPr="003A0E87">
        <w:rPr>
          <w:rStyle w:val="StyleUnderline"/>
          <w:highlight w:val="cyan"/>
        </w:rPr>
        <w:t>violence</w:t>
      </w:r>
      <w:r w:rsidRPr="005B55FE">
        <w:rPr>
          <w:rStyle w:val="StyleUnderline"/>
        </w:rPr>
        <w:t xml:space="preserve"> </w:t>
      </w:r>
      <w:r w:rsidRPr="003A0E87">
        <w:rPr>
          <w:rStyle w:val="StyleUnderline"/>
          <w:highlight w:val="cyan"/>
        </w:rPr>
        <w:t>towards</w:t>
      </w:r>
      <w:r w:rsidRPr="005B55FE">
        <w:rPr>
          <w:rStyle w:val="StyleUnderline"/>
        </w:rPr>
        <w:t xml:space="preserve"> </w:t>
      </w:r>
      <w:r w:rsidRPr="003A0E87">
        <w:rPr>
          <w:rStyle w:val="StyleUnderline"/>
          <w:highlight w:val="cyan"/>
        </w:rPr>
        <w:t>black</w:t>
      </w:r>
      <w:r w:rsidRPr="005B55FE">
        <w:rPr>
          <w:rStyle w:val="StyleUnderline"/>
        </w:rPr>
        <w:t xml:space="preserve"> </w:t>
      </w:r>
      <w:r w:rsidRPr="003A0E87">
        <w:rPr>
          <w:rStyle w:val="StyleUnderline"/>
          <w:highlight w:val="cyan"/>
        </w:rPr>
        <w:t>trans</w:t>
      </w:r>
      <w:r w:rsidRPr="005B55FE">
        <w:rPr>
          <w:rStyle w:val="StyleUnderline"/>
        </w:rPr>
        <w:t xml:space="preserve">gender </w:t>
      </w:r>
      <w:r w:rsidRPr="003A0E87">
        <w:rPr>
          <w:rStyle w:val="StyleUnderline"/>
          <w:highlight w:val="cyan"/>
        </w:rPr>
        <w:t>women</w:t>
      </w:r>
      <w:r w:rsidRPr="005B55FE">
        <w:rPr>
          <w:rStyle w:val="StyleUnderline"/>
        </w:rPr>
        <w:t xml:space="preserve"> was </w:t>
      </w:r>
      <w:r w:rsidRPr="003A0E87">
        <w:rPr>
          <w:rStyle w:val="StyleUnderline"/>
          <w:highlight w:val="cyan"/>
        </w:rPr>
        <w:t>rampant</w:t>
      </w:r>
      <w:r w:rsidRPr="005B55FE">
        <w:rPr>
          <w:rStyle w:val="StyleUnderline"/>
        </w:rPr>
        <w:t xml:space="preserve"> </w:t>
      </w:r>
      <w:r w:rsidRPr="003A0E87">
        <w:rPr>
          <w:rStyle w:val="StyleUnderline"/>
          <w:highlight w:val="cyan"/>
        </w:rPr>
        <w:t>from</w:t>
      </w:r>
      <w:r w:rsidRPr="005B55FE">
        <w:rPr>
          <w:rStyle w:val="StyleUnderline"/>
        </w:rPr>
        <w:t xml:space="preserve"> the police, the larger </w:t>
      </w:r>
      <w:r w:rsidRPr="003A0E87">
        <w:rPr>
          <w:rStyle w:val="StyleUnderline"/>
          <w:highlight w:val="cyan"/>
        </w:rPr>
        <w:t>society,</w:t>
      </w:r>
      <w:r w:rsidRPr="005B55FE">
        <w:rPr>
          <w:rStyle w:val="StyleUnderline"/>
        </w:rPr>
        <w:t xml:space="preserve"> the black community, and the queer community. Since they existed within a legal system that forced people into two distinct gender categories, </w:t>
      </w:r>
      <w:r w:rsidRPr="003A0E87">
        <w:rPr>
          <w:rStyle w:val="StyleUnderline"/>
          <w:highlight w:val="cyan"/>
        </w:rPr>
        <w:t>black</w:t>
      </w:r>
      <w:r w:rsidRPr="005B55FE">
        <w:rPr>
          <w:rStyle w:val="StyleUnderline"/>
        </w:rPr>
        <w:t xml:space="preserve"> </w:t>
      </w:r>
      <w:r w:rsidRPr="003A0E87">
        <w:rPr>
          <w:rStyle w:val="StyleUnderline"/>
          <w:highlight w:val="cyan"/>
        </w:rPr>
        <w:t>trans</w:t>
      </w:r>
      <w:r w:rsidRPr="005B55FE">
        <w:rPr>
          <w:rStyle w:val="StyleUnderline"/>
        </w:rPr>
        <w:t xml:space="preserve">gender </w:t>
      </w:r>
      <w:r w:rsidRPr="003A0E87">
        <w:rPr>
          <w:rStyle w:val="StyleUnderline"/>
          <w:highlight w:val="cyan"/>
        </w:rPr>
        <w:t>women</w:t>
      </w:r>
      <w:r w:rsidRPr="005B55FE">
        <w:rPr>
          <w:rStyle w:val="StyleUnderline"/>
        </w:rPr>
        <w:t xml:space="preserve"> were </w:t>
      </w:r>
      <w:r w:rsidRPr="003A0E87">
        <w:rPr>
          <w:rStyle w:val="StyleUnderline"/>
          <w:highlight w:val="cyan"/>
        </w:rPr>
        <w:t>criminalized</w:t>
      </w:r>
      <w:r w:rsidRPr="005B55FE">
        <w:rPr>
          <w:rStyle w:val="StyleUnderline"/>
        </w:rPr>
        <w:t>, making them targets of 3 personal and state sanctioned violence</w:t>
      </w:r>
      <w:r w:rsidRPr="009278B5">
        <w:t xml:space="preserve">. </w:t>
      </w:r>
      <w:r w:rsidRPr="003A0E87">
        <w:t>Just as</w:t>
      </w:r>
      <w:r w:rsidRPr="009278B5">
        <w:t xml:space="preserve"> </w:t>
      </w:r>
      <w:r w:rsidRPr="003A0E87">
        <w:rPr>
          <w:rStyle w:val="StyleUnderline"/>
          <w:highlight w:val="cyan"/>
        </w:rPr>
        <w:t>womanhood</w:t>
      </w:r>
      <w:r w:rsidRPr="005B55FE">
        <w:rPr>
          <w:rStyle w:val="StyleUnderline"/>
        </w:rPr>
        <w:t xml:space="preserve"> is </w:t>
      </w:r>
      <w:r w:rsidRPr="003A0E87">
        <w:rPr>
          <w:rStyle w:val="StyleUnderline"/>
          <w:highlight w:val="cyan"/>
        </w:rPr>
        <w:t>not</w:t>
      </w:r>
      <w:r w:rsidRPr="005B55FE">
        <w:rPr>
          <w:rStyle w:val="StyleUnderline"/>
        </w:rPr>
        <w:t xml:space="preserve"> </w:t>
      </w:r>
      <w:r w:rsidRPr="003A0E87">
        <w:rPr>
          <w:rStyle w:val="StyleUnderline"/>
          <w:highlight w:val="cyan"/>
        </w:rPr>
        <w:t>defined</w:t>
      </w:r>
      <w:r w:rsidRPr="005B55FE">
        <w:rPr>
          <w:rStyle w:val="StyleUnderline"/>
        </w:rPr>
        <w:t xml:space="preserve"> solely </w:t>
      </w:r>
      <w:r w:rsidRPr="003A0E87">
        <w:rPr>
          <w:rStyle w:val="StyleUnderline"/>
          <w:highlight w:val="cyan"/>
        </w:rPr>
        <w:t>through</w:t>
      </w:r>
      <w:r w:rsidRPr="005B55FE">
        <w:rPr>
          <w:rStyle w:val="StyleUnderline"/>
        </w:rPr>
        <w:t xml:space="preserve"> the </w:t>
      </w:r>
      <w:r w:rsidRPr="003A0E87">
        <w:rPr>
          <w:rStyle w:val="StyleUnderline"/>
          <w:highlight w:val="cyan"/>
        </w:rPr>
        <w:t>experiences of white women</w:t>
      </w:r>
      <w:r w:rsidRPr="009278B5">
        <w:t xml:space="preserve">, </w:t>
      </w:r>
      <w:r w:rsidRPr="003A0E87">
        <w:rPr>
          <w:rStyle w:val="StyleUnderline"/>
          <w:highlight w:val="cyan"/>
        </w:rPr>
        <w:t>womanhood</w:t>
      </w:r>
      <w:r w:rsidRPr="005B55FE">
        <w:rPr>
          <w:rStyle w:val="StyleUnderline"/>
        </w:rPr>
        <w:t xml:space="preserve"> is </w:t>
      </w:r>
      <w:r w:rsidRPr="003A0E87">
        <w:rPr>
          <w:rStyle w:val="StyleUnderline"/>
          <w:highlight w:val="cyan"/>
        </w:rPr>
        <w:t>not</w:t>
      </w:r>
      <w:r w:rsidRPr="005B55FE">
        <w:rPr>
          <w:rStyle w:val="StyleUnderline"/>
        </w:rPr>
        <w:t xml:space="preserve"> </w:t>
      </w:r>
      <w:r w:rsidRPr="003A0E87">
        <w:rPr>
          <w:rStyle w:val="StyleUnderline"/>
          <w:highlight w:val="cyan"/>
        </w:rPr>
        <w:t>defined</w:t>
      </w:r>
      <w:r w:rsidRPr="005B55FE">
        <w:rPr>
          <w:rStyle w:val="StyleUnderline"/>
        </w:rPr>
        <w:t xml:space="preserve"> solely </w:t>
      </w:r>
      <w:r w:rsidRPr="003A0E87">
        <w:rPr>
          <w:rStyle w:val="StyleUnderline"/>
          <w:highlight w:val="cyan"/>
        </w:rPr>
        <w:t>through</w:t>
      </w:r>
      <w:r w:rsidRPr="005B55FE">
        <w:rPr>
          <w:rStyle w:val="StyleUnderline"/>
        </w:rPr>
        <w:t xml:space="preserve"> the </w:t>
      </w:r>
      <w:r w:rsidRPr="003A0E87">
        <w:rPr>
          <w:rStyle w:val="StyleUnderline"/>
          <w:highlight w:val="cyan"/>
        </w:rPr>
        <w:t>experiences</w:t>
      </w:r>
      <w:r w:rsidRPr="005B55FE">
        <w:rPr>
          <w:rStyle w:val="StyleUnderline"/>
        </w:rPr>
        <w:t xml:space="preserve"> </w:t>
      </w:r>
      <w:r w:rsidRPr="003A0E87">
        <w:rPr>
          <w:rStyle w:val="StyleUnderline"/>
          <w:highlight w:val="cyan"/>
        </w:rPr>
        <w:t>of</w:t>
      </w:r>
      <w:r w:rsidRPr="005B55FE">
        <w:rPr>
          <w:rStyle w:val="StyleUnderline"/>
        </w:rPr>
        <w:t xml:space="preserve"> </w:t>
      </w:r>
      <w:r w:rsidRPr="003A0E87">
        <w:rPr>
          <w:rStyle w:val="StyleUnderline"/>
          <w:highlight w:val="cyan"/>
        </w:rPr>
        <w:t>cisgender</w:t>
      </w:r>
      <w:r w:rsidRPr="005B55FE">
        <w:rPr>
          <w:rStyle w:val="StyleUnderline"/>
        </w:rPr>
        <w:t xml:space="preserve"> </w:t>
      </w:r>
      <w:r w:rsidRPr="003A0E87">
        <w:rPr>
          <w:rStyle w:val="StyleUnderline"/>
          <w:highlight w:val="cyan"/>
        </w:rPr>
        <w:t>women</w:t>
      </w:r>
      <w:r w:rsidRPr="005B55FE">
        <w:rPr>
          <w:rStyle w:val="StyleUnderline"/>
        </w:rPr>
        <w:t xml:space="preserve"> of any race,</w:t>
      </w:r>
      <w:r w:rsidRPr="009278B5">
        <w:t xml:space="preserve"> ethnicity, or nationality. Historically, </w:t>
      </w:r>
      <w:r w:rsidRPr="005B55FE">
        <w:rPr>
          <w:rStyle w:val="StyleUnderline"/>
        </w:rPr>
        <w:t xml:space="preserve">black women have </w:t>
      </w:r>
      <w:r w:rsidRPr="005B55FE">
        <w:rPr>
          <w:rStyle w:val="StyleUnderline"/>
        </w:rPr>
        <w:lastRenderedPageBreak/>
        <w:t>highlighted their experiences with systematic racial and gender discrimination.</w:t>
      </w:r>
      <w:r w:rsidRPr="009278B5">
        <w:t xml:space="preserve"> During the early years of women’s liberation, Frances M. Beal, a founding member of the Student Nonviolent Coordinating Committee’s (SNCC) Black Women’s Liberation Committee, wrote her seminal essay, “Double Jeopardy: To Be Black and Female.” Double Jeopardy addresses racial and gendered oppressions, misconceptions, and plights when it comes to black women. In addressing these “interlocking systems of oppression,” Patricia Hill Collins brings attention to the oppressions and groups affected by them, such as the queer community.4 Deborah King posits that </w:t>
      </w:r>
      <w:r w:rsidRPr="005B55FE">
        <w:rPr>
          <w:rStyle w:val="StyleUnderline"/>
        </w:rPr>
        <w:t xml:space="preserve">double and </w:t>
      </w:r>
      <w:r w:rsidRPr="003A0E87">
        <w:rPr>
          <w:rStyle w:val="StyleUnderline"/>
          <w:highlight w:val="cyan"/>
        </w:rPr>
        <w:t>triple jeopardy</w:t>
      </w:r>
      <w:r w:rsidRPr="005B55FE">
        <w:rPr>
          <w:rStyle w:val="StyleUnderline"/>
        </w:rPr>
        <w:t xml:space="preserve"> does </w:t>
      </w:r>
      <w:r w:rsidRPr="003A0E87">
        <w:rPr>
          <w:rStyle w:val="StyleUnderline"/>
          <w:highlight w:val="cyan"/>
        </w:rPr>
        <w:t>not</w:t>
      </w:r>
      <w:r w:rsidRPr="005B55FE">
        <w:rPr>
          <w:rStyle w:val="StyleUnderline"/>
        </w:rPr>
        <w:t xml:space="preserve"> fully </w:t>
      </w:r>
      <w:r w:rsidRPr="003A0E87">
        <w:rPr>
          <w:rStyle w:val="StyleUnderline"/>
          <w:highlight w:val="cyan"/>
        </w:rPr>
        <w:t>capture</w:t>
      </w:r>
      <w:r w:rsidRPr="005B55FE">
        <w:rPr>
          <w:rStyle w:val="StyleUnderline"/>
        </w:rPr>
        <w:t xml:space="preserve"> the many </w:t>
      </w:r>
      <w:r w:rsidRPr="003A0E87">
        <w:rPr>
          <w:rStyle w:val="StyleUnderline"/>
          <w:highlight w:val="cyan"/>
        </w:rPr>
        <w:t>oppressions black women face</w:t>
      </w:r>
      <w:r w:rsidRPr="005B55FE">
        <w:rPr>
          <w:rStyle w:val="StyleUnderline"/>
        </w:rPr>
        <w:t xml:space="preserve">, so she coined the phrase “multiple jeopardy,” which includes homophobia.5 Within the larger queer community, </w:t>
      </w:r>
      <w:r w:rsidRPr="003A0E87">
        <w:rPr>
          <w:rStyle w:val="StyleUnderline"/>
          <w:highlight w:val="cyan"/>
        </w:rPr>
        <w:t>those</w:t>
      </w:r>
      <w:r w:rsidRPr="005B55FE">
        <w:rPr>
          <w:rStyle w:val="StyleUnderline"/>
        </w:rPr>
        <w:t xml:space="preserve"> </w:t>
      </w:r>
      <w:r w:rsidRPr="003A0E87">
        <w:rPr>
          <w:rStyle w:val="StyleUnderline"/>
          <w:highlight w:val="cyan"/>
        </w:rPr>
        <w:t>who</w:t>
      </w:r>
      <w:r w:rsidRPr="005B55FE">
        <w:rPr>
          <w:rStyle w:val="StyleUnderline"/>
        </w:rPr>
        <w:t xml:space="preserve"> </w:t>
      </w:r>
      <w:r w:rsidRPr="003A0E87">
        <w:rPr>
          <w:rStyle w:val="StyleUnderline"/>
          <w:highlight w:val="cyan"/>
        </w:rPr>
        <w:t>have</w:t>
      </w:r>
      <w:r w:rsidRPr="005B55FE">
        <w:rPr>
          <w:rStyle w:val="StyleUnderline"/>
        </w:rPr>
        <w:t xml:space="preserve"> held the </w:t>
      </w:r>
      <w:r w:rsidRPr="003A0E87">
        <w:rPr>
          <w:rStyle w:val="StyleUnderline"/>
          <w:highlight w:val="cyan"/>
        </w:rPr>
        <w:t>power</w:t>
      </w:r>
      <w:r w:rsidRPr="005B55FE">
        <w:rPr>
          <w:rStyle w:val="StyleUnderline"/>
        </w:rPr>
        <w:t xml:space="preserve"> </w:t>
      </w:r>
      <w:r w:rsidRPr="003A0E87">
        <w:rPr>
          <w:rStyle w:val="StyleUnderline"/>
          <w:highlight w:val="cyan"/>
        </w:rPr>
        <w:t>to</w:t>
      </w:r>
      <w:r w:rsidRPr="005B55FE">
        <w:rPr>
          <w:rStyle w:val="StyleUnderline"/>
        </w:rPr>
        <w:t xml:space="preserve"> </w:t>
      </w:r>
      <w:r w:rsidRPr="003A0E87">
        <w:rPr>
          <w:rStyle w:val="StyleUnderline"/>
          <w:highlight w:val="cyan"/>
        </w:rPr>
        <w:t>make</w:t>
      </w:r>
      <w:r w:rsidRPr="005B55FE">
        <w:rPr>
          <w:rStyle w:val="StyleUnderline"/>
        </w:rPr>
        <w:t xml:space="preserve"> the decisions as to whose </w:t>
      </w:r>
      <w:r w:rsidRPr="003A0E87">
        <w:rPr>
          <w:rStyle w:val="StyleUnderline"/>
          <w:highlight w:val="cyan"/>
        </w:rPr>
        <w:t>narratives</w:t>
      </w:r>
      <w:r w:rsidRPr="005B55FE">
        <w:rPr>
          <w:rStyle w:val="StyleUnderline"/>
        </w:rPr>
        <w:t xml:space="preserve"> are placed at the </w:t>
      </w:r>
      <w:r w:rsidRPr="003A0E87">
        <w:rPr>
          <w:rStyle w:val="StyleUnderline"/>
        </w:rPr>
        <w:t xml:space="preserve">forefront </w:t>
      </w:r>
      <w:r w:rsidRPr="003A0E87">
        <w:rPr>
          <w:rStyle w:val="StyleUnderline"/>
          <w:highlight w:val="cyan"/>
        </w:rPr>
        <w:t>have been white and male</w:t>
      </w:r>
      <w:r w:rsidRPr="005B55FE">
        <w:rPr>
          <w:rStyle w:val="StyleUnderline"/>
        </w:rPr>
        <w:t xml:space="preserve">. Historically, the movement has had issues of racism and misogyny. </w:t>
      </w:r>
      <w:r w:rsidRPr="003A0E87">
        <w:rPr>
          <w:rStyle w:val="StyleUnderline"/>
          <w:highlight w:val="cyan"/>
        </w:rPr>
        <w:t xml:space="preserve">As a result, </w:t>
      </w:r>
      <w:r w:rsidRPr="003A0E87">
        <w:rPr>
          <w:rStyle w:val="StyleUnderline"/>
        </w:rPr>
        <w:t xml:space="preserve">the </w:t>
      </w:r>
      <w:r w:rsidRPr="003A0E87">
        <w:rPr>
          <w:rStyle w:val="StyleUnderline"/>
          <w:highlight w:val="cyan"/>
        </w:rPr>
        <w:t>narratives of black queer</w:t>
      </w:r>
      <w:r w:rsidRPr="005B55FE">
        <w:rPr>
          <w:rStyle w:val="StyleUnderline"/>
        </w:rPr>
        <w:t xml:space="preserve"> and </w:t>
      </w:r>
      <w:r w:rsidRPr="003A0E87">
        <w:rPr>
          <w:rStyle w:val="StyleUnderline"/>
          <w:highlight w:val="cyan"/>
        </w:rPr>
        <w:t>gender nonconforming women</w:t>
      </w:r>
      <w:r w:rsidRPr="005B55FE">
        <w:rPr>
          <w:rStyle w:val="StyleUnderline"/>
        </w:rPr>
        <w:t xml:space="preserve"> and individuals’ lives are </w:t>
      </w:r>
      <w:r w:rsidRPr="003A0E87">
        <w:rPr>
          <w:rStyle w:val="StyleUnderline"/>
          <w:highlight w:val="cyan"/>
        </w:rPr>
        <w:t>obscure</w:t>
      </w:r>
      <w:r w:rsidRPr="005B55FE">
        <w:rPr>
          <w:rStyle w:val="StyleUnderline"/>
        </w:rPr>
        <w:t>.</w:t>
      </w:r>
      <w:r w:rsidRPr="009278B5">
        <w:t xml:space="preserve"> Many have had to </w:t>
      </w:r>
      <w:r w:rsidRPr="003A0E87">
        <w:rPr>
          <w:rStyle w:val="StyleUnderline"/>
        </w:rPr>
        <w:t>remind the rest of the community of their presence, “I’m still fucking here!”6 Black feminist lesbians such as Audre Lorde, aware of the invisibility of black lesbians wrote, “to this day I believe that there have always been Black dykes around – in the sense of powerful and women-oriented women – who would rather have died than use that name for themselves.”</w:t>
      </w:r>
      <w:r w:rsidRPr="009278B5">
        <w:t xml:space="preserve">7 In </w:t>
      </w:r>
      <w:r w:rsidRPr="003A0E87">
        <w:rPr>
          <w:rStyle w:val="StyleUnderline"/>
        </w:rPr>
        <w:t xml:space="preserve">1974, the black lesbian feminist organization, The </w:t>
      </w:r>
      <w:r w:rsidRPr="003A0E87">
        <w:rPr>
          <w:rStyle w:val="StyleUnderline"/>
          <w:highlight w:val="cyan"/>
        </w:rPr>
        <w:t>Combahee</w:t>
      </w:r>
      <w:r w:rsidRPr="003A0E87">
        <w:rPr>
          <w:rStyle w:val="StyleUnderline"/>
        </w:rPr>
        <w:t xml:space="preserve"> </w:t>
      </w:r>
      <w:r w:rsidRPr="003A0E87">
        <w:rPr>
          <w:rStyle w:val="StyleUnderline"/>
          <w:highlight w:val="cyan"/>
        </w:rPr>
        <w:t>River</w:t>
      </w:r>
      <w:r w:rsidRPr="003A0E87">
        <w:rPr>
          <w:rStyle w:val="StyleUnderline"/>
        </w:rPr>
        <w:t xml:space="preserve"> </w:t>
      </w:r>
      <w:r w:rsidRPr="003A0E87">
        <w:rPr>
          <w:rStyle w:val="StyleUnderline"/>
          <w:highlight w:val="cyan"/>
        </w:rPr>
        <w:t>Collective</w:t>
      </w:r>
      <w:r w:rsidRPr="003A0E87">
        <w:rPr>
          <w:rStyle w:val="StyleUnderline"/>
        </w:rPr>
        <w:t xml:space="preserve"> co-founded by black lesbian activist Barbara Smith, </w:t>
      </w:r>
      <w:r w:rsidRPr="003A0E87">
        <w:rPr>
          <w:rStyle w:val="StyleUnderline"/>
          <w:highlight w:val="cyan"/>
        </w:rPr>
        <w:t>issued</w:t>
      </w:r>
      <w:r w:rsidRPr="003A0E87">
        <w:rPr>
          <w:rStyle w:val="StyleUnderline"/>
        </w:rPr>
        <w:t xml:space="preserve"> its </w:t>
      </w:r>
      <w:r w:rsidRPr="003A0E87">
        <w:rPr>
          <w:rStyle w:val="StyleUnderline"/>
          <w:highlight w:val="cyan"/>
        </w:rPr>
        <w:t>groundbreaking</w:t>
      </w:r>
      <w:r w:rsidRPr="003A0E87">
        <w:rPr>
          <w:rStyle w:val="StyleUnderline"/>
        </w:rPr>
        <w:t xml:space="preserve"> </w:t>
      </w:r>
      <w:r w:rsidRPr="003A0E87">
        <w:rPr>
          <w:rStyle w:val="StyleUnderline"/>
          <w:highlight w:val="cyan"/>
        </w:rPr>
        <w:t>manifesto</w:t>
      </w:r>
      <w:r w:rsidRPr="003A0E87">
        <w:rPr>
          <w:rStyle w:val="StyleUnderline"/>
        </w:rPr>
        <w:t xml:space="preserve">, which has </w:t>
      </w:r>
      <w:r w:rsidRPr="003A0E87">
        <w:rPr>
          <w:rStyle w:val="StyleUnderline"/>
          <w:highlight w:val="cyan"/>
        </w:rPr>
        <w:t>reshaped</w:t>
      </w:r>
      <w:r w:rsidRPr="003A0E87">
        <w:rPr>
          <w:rStyle w:val="StyleUnderline"/>
        </w:rPr>
        <w:t xml:space="preserve"> how </w:t>
      </w:r>
      <w:r w:rsidRPr="003A0E87">
        <w:rPr>
          <w:rStyle w:val="StyleUnderline"/>
          <w:highlight w:val="cyan"/>
        </w:rPr>
        <w:t>feminism</w:t>
      </w:r>
      <w:r w:rsidRPr="003A0E87">
        <w:rPr>
          <w:rStyle w:val="StyleUnderline"/>
        </w:rPr>
        <w:t xml:space="preserve"> and intersectionality are discussed and centered the voices of black queer women during a time when they were excluded from mainstream movements and discourse.</w:t>
      </w:r>
      <w:r w:rsidRPr="009278B5">
        <w:t xml:space="preserve">8 As a group </w:t>
      </w:r>
      <w:r w:rsidRPr="003A0E87">
        <w:rPr>
          <w:rStyle w:val="StyleUnderline"/>
        </w:rPr>
        <w:t>relegated to the lowest rung of society,</w:t>
      </w:r>
      <w:r w:rsidRPr="009278B5">
        <w:t xml:space="preserve"> </w:t>
      </w:r>
      <w:r w:rsidRPr="003A0E87">
        <w:rPr>
          <w:rStyle w:val="StyleUnderline"/>
          <w:highlight w:val="cyan"/>
        </w:rPr>
        <w:t>dismantling</w:t>
      </w:r>
      <w:r w:rsidRPr="003A0E87">
        <w:rPr>
          <w:rStyle w:val="StyleUnderline"/>
        </w:rPr>
        <w:t xml:space="preserve"> the socio-political </w:t>
      </w:r>
      <w:r w:rsidRPr="003A0E87">
        <w:rPr>
          <w:rStyle w:val="StyleUnderline"/>
          <w:highlight w:val="cyan"/>
        </w:rPr>
        <w:t>systems of capitalism</w:t>
      </w:r>
      <w:r w:rsidRPr="003A0E87">
        <w:rPr>
          <w:rStyle w:val="StyleUnderline"/>
        </w:rPr>
        <w:t>, reforming the attitudes and behaviors of those who shape the criminal legal system</w:t>
      </w:r>
      <w:r w:rsidRPr="009278B5">
        <w:t xml:space="preserve">, and creating laws that help and protect ultimately liberates black transgender and gender nonconforming women of color. As a result, </w:t>
      </w:r>
      <w:r w:rsidRPr="003A0E87">
        <w:rPr>
          <w:rStyle w:val="StyleUnderline"/>
        </w:rPr>
        <w:t>every other oppressed group becomes liberated</w:t>
      </w:r>
      <w:r w:rsidRPr="009278B5">
        <w:t xml:space="preserve">. Not only </w:t>
      </w:r>
      <w:r w:rsidRPr="003A0E87">
        <w:t>must</w:t>
      </w:r>
      <w:r w:rsidRPr="009278B5">
        <w:t xml:space="preserve"> these </w:t>
      </w:r>
      <w:r w:rsidRPr="003A0E87">
        <w:rPr>
          <w:rStyle w:val="StyleUnderline"/>
          <w:highlight w:val="cyan"/>
        </w:rPr>
        <w:t>institutions</w:t>
      </w:r>
      <w:r w:rsidRPr="003A0E87">
        <w:rPr>
          <w:rStyle w:val="StyleUnderline"/>
        </w:rPr>
        <w:t xml:space="preserve"> </w:t>
      </w:r>
      <w:r w:rsidRPr="003A0E87">
        <w:rPr>
          <w:rStyle w:val="StyleUnderline"/>
          <w:highlight w:val="cyan"/>
        </w:rPr>
        <w:t>listen</w:t>
      </w:r>
      <w:r w:rsidRPr="003A0E87">
        <w:rPr>
          <w:rStyle w:val="StyleUnderline"/>
        </w:rPr>
        <w:t xml:space="preserve"> </w:t>
      </w:r>
      <w:r w:rsidRPr="003A0E87">
        <w:rPr>
          <w:rStyle w:val="StyleUnderline"/>
          <w:highlight w:val="cyan"/>
        </w:rPr>
        <w:t>to</w:t>
      </w:r>
      <w:r w:rsidRPr="003A0E87">
        <w:rPr>
          <w:rStyle w:val="StyleUnderline"/>
        </w:rPr>
        <w:t xml:space="preserve"> </w:t>
      </w:r>
      <w:r w:rsidRPr="003A0E87">
        <w:rPr>
          <w:rStyle w:val="StyleUnderline"/>
          <w:highlight w:val="cyan"/>
        </w:rPr>
        <w:t>black transgender women</w:t>
      </w:r>
      <w:r w:rsidRPr="003A0E87">
        <w:rPr>
          <w:rStyle w:val="StyleUnderline"/>
        </w:rPr>
        <w:t xml:space="preserve"> and gender nonconforming women of color, these </w:t>
      </w:r>
      <w:r w:rsidRPr="003A0E87">
        <w:rPr>
          <w:rStyle w:val="StyleUnderline"/>
          <w:highlight w:val="cyan"/>
        </w:rPr>
        <w:t>individuals</w:t>
      </w:r>
      <w:r w:rsidRPr="003A0E87">
        <w:rPr>
          <w:rStyle w:val="StyleUnderline"/>
        </w:rPr>
        <w:t xml:space="preserve"> </w:t>
      </w:r>
      <w:r w:rsidRPr="003A0E87">
        <w:rPr>
          <w:rStyle w:val="StyleUnderline"/>
          <w:highlight w:val="cyan"/>
        </w:rPr>
        <w:t>must</w:t>
      </w:r>
      <w:r w:rsidRPr="003A0E87">
        <w:rPr>
          <w:rStyle w:val="StyleUnderline"/>
        </w:rPr>
        <w:t xml:space="preserve"> </w:t>
      </w:r>
      <w:r w:rsidRPr="003A0E87">
        <w:rPr>
          <w:rStyle w:val="StyleUnderline"/>
          <w:highlight w:val="cyan"/>
        </w:rPr>
        <w:t>be</w:t>
      </w:r>
      <w:r w:rsidRPr="003A0E87">
        <w:rPr>
          <w:rStyle w:val="StyleUnderline"/>
        </w:rPr>
        <w:t xml:space="preserve"> </w:t>
      </w:r>
      <w:r w:rsidRPr="003A0E87">
        <w:rPr>
          <w:rStyle w:val="StyleUnderline"/>
          <w:highlight w:val="cyan"/>
        </w:rPr>
        <w:t xml:space="preserve">including in </w:t>
      </w:r>
      <w:r w:rsidRPr="003A0E87">
        <w:rPr>
          <w:rStyle w:val="StyleUnderline"/>
        </w:rPr>
        <w:t xml:space="preserve">the </w:t>
      </w:r>
      <w:r w:rsidRPr="003A0E87">
        <w:rPr>
          <w:rStyle w:val="StyleUnderline"/>
          <w:highlight w:val="cyan"/>
        </w:rPr>
        <w:t xml:space="preserve">decision-making </w:t>
      </w:r>
      <w:r w:rsidRPr="0019287B">
        <w:rPr>
          <w:rStyle w:val="StyleUnderline"/>
        </w:rPr>
        <w:t>process so that they play a critical role in their liberation.</w:t>
      </w:r>
      <w:r w:rsidRPr="0019287B">
        <w:t xml:space="preserve"> They must be present at every level of government as they help to shape what liberation, freedom, and</w:t>
      </w:r>
      <w:r w:rsidRPr="009278B5">
        <w:t xml:space="preserve"> equality looks like. For this group, </w:t>
      </w:r>
      <w:r w:rsidRPr="003A0E87">
        <w:rPr>
          <w:rStyle w:val="StyleUnderline"/>
        </w:rPr>
        <w:t>liberation means not having to justify one’s existence.</w:t>
      </w:r>
      <w:r w:rsidRPr="009278B5">
        <w:t xml:space="preserve"> Freedom means not having to seek out a safe space to live and breathe. </w:t>
      </w:r>
      <w:r w:rsidRPr="003A0E87">
        <w:rPr>
          <w:rStyle w:val="StyleUnderline"/>
        </w:rPr>
        <w:t xml:space="preserve">Equality means the general public and the political arena committing to and actively working towards the safety and support of liberation for black transgender women and gender nonconforming women of color. </w:t>
      </w:r>
      <w:r w:rsidRPr="0019287B">
        <w:rPr>
          <w:rStyle w:val="StyleUnderline"/>
          <w:highlight w:val="cyan"/>
        </w:rPr>
        <w:t>Centering</w:t>
      </w:r>
      <w:r w:rsidRPr="003A0E87">
        <w:rPr>
          <w:rStyle w:val="StyleUnderline"/>
        </w:rPr>
        <w:t xml:space="preserve"> </w:t>
      </w:r>
      <w:r w:rsidRPr="0019287B">
        <w:rPr>
          <w:rStyle w:val="StyleUnderline"/>
          <w:highlight w:val="cyan"/>
        </w:rPr>
        <w:t>black</w:t>
      </w:r>
      <w:r w:rsidRPr="003A0E87">
        <w:rPr>
          <w:rStyle w:val="StyleUnderline"/>
        </w:rPr>
        <w:t xml:space="preserve"> </w:t>
      </w:r>
      <w:r w:rsidRPr="0019287B">
        <w:rPr>
          <w:rStyle w:val="StyleUnderline"/>
          <w:highlight w:val="cyan"/>
        </w:rPr>
        <w:t>trans</w:t>
      </w:r>
      <w:r w:rsidRPr="003A0E87">
        <w:rPr>
          <w:rStyle w:val="StyleUnderline"/>
        </w:rPr>
        <w:t xml:space="preserve">gender </w:t>
      </w:r>
      <w:r w:rsidRPr="0019287B">
        <w:rPr>
          <w:rStyle w:val="StyleUnderline"/>
          <w:highlight w:val="cyan"/>
        </w:rPr>
        <w:t>women</w:t>
      </w:r>
      <w:r w:rsidRPr="003A0E87">
        <w:rPr>
          <w:rStyle w:val="StyleUnderline"/>
        </w:rPr>
        <w:t xml:space="preserve"> not only </w:t>
      </w:r>
      <w:r w:rsidRPr="0019287B">
        <w:rPr>
          <w:rStyle w:val="StyleUnderline"/>
          <w:highlight w:val="cyan"/>
        </w:rPr>
        <w:t>expands</w:t>
      </w:r>
      <w:r w:rsidRPr="003A0E87">
        <w:rPr>
          <w:rStyle w:val="StyleUnderline"/>
        </w:rPr>
        <w:t xml:space="preserve"> </w:t>
      </w:r>
      <w:r w:rsidRPr="0019287B">
        <w:rPr>
          <w:rStyle w:val="StyleUnderline"/>
          <w:highlight w:val="cyan"/>
        </w:rPr>
        <w:t>ideas</w:t>
      </w:r>
      <w:r w:rsidRPr="003A0E87">
        <w:rPr>
          <w:rStyle w:val="StyleUnderline"/>
        </w:rPr>
        <w:t xml:space="preserve"> </w:t>
      </w:r>
      <w:r w:rsidRPr="0019287B">
        <w:rPr>
          <w:rStyle w:val="StyleUnderline"/>
        </w:rPr>
        <w:t>and</w:t>
      </w:r>
      <w:r w:rsidRPr="003A0E87">
        <w:rPr>
          <w:rStyle w:val="StyleUnderline"/>
        </w:rPr>
        <w:t xml:space="preserve"> understanding </w:t>
      </w:r>
      <w:r w:rsidRPr="0019287B">
        <w:rPr>
          <w:rStyle w:val="StyleUnderline"/>
          <w:highlight w:val="cyan"/>
        </w:rPr>
        <w:t>of</w:t>
      </w:r>
      <w:r w:rsidRPr="003A0E87">
        <w:rPr>
          <w:rStyle w:val="StyleUnderline"/>
        </w:rPr>
        <w:t xml:space="preserve"> black </w:t>
      </w:r>
      <w:r w:rsidRPr="0019287B">
        <w:rPr>
          <w:rStyle w:val="StyleUnderline"/>
          <w:highlight w:val="cyan"/>
        </w:rPr>
        <w:t>womanhood</w:t>
      </w:r>
      <w:r w:rsidRPr="003A0E87">
        <w:rPr>
          <w:rStyle w:val="StyleUnderline"/>
        </w:rPr>
        <w:t xml:space="preserve">, but also highlights spaces. </w:t>
      </w:r>
    </w:p>
    <w:p w14:paraId="0056612C" w14:textId="77777777" w:rsidR="00B4170C" w:rsidRPr="008B7A77" w:rsidRDefault="00B4170C" w:rsidP="00B4170C">
      <w:pPr>
        <w:pStyle w:val="Heading4"/>
        <w:rPr>
          <w:rStyle w:val="Style13ptBold"/>
          <w:b/>
          <w:bCs w:val="0"/>
        </w:rPr>
      </w:pPr>
      <w:r>
        <w:rPr>
          <w:rStyle w:val="Style13ptBold"/>
        </w:rPr>
        <w:t>Vote negative to endorse insurgent archiving, a performative counter archival praxis to disidentify and reclaim history. A preservationist focus is key to prevent archival erasure.</w:t>
      </w:r>
    </w:p>
    <w:p w14:paraId="0CDA96ED" w14:textId="77777777" w:rsidR="00B4170C" w:rsidRDefault="00B4170C" w:rsidP="00B4170C">
      <w:pPr>
        <w:rPr>
          <w:sz w:val="16"/>
        </w:rPr>
      </w:pPr>
      <w:r>
        <w:rPr>
          <w:rStyle w:val="Style13ptBold"/>
        </w:rPr>
        <w:t xml:space="preserve">Skjellum-Salmon 24 </w:t>
      </w:r>
      <w:r w:rsidRPr="00E2068E">
        <w:rPr>
          <w:sz w:val="16"/>
        </w:rPr>
        <w:t xml:space="preserve">Skjellum-Salmon, Hannah. PhD in English and Comparative Literature from UNC Chapel Hill (conferred Nov. 2024), studying Black and African American LGBTQ literature, archives, history, film, and drag artistry </w:t>
      </w:r>
      <w:r w:rsidRPr="00E2068E">
        <w:rPr>
          <w:i/>
          <w:iCs/>
          <w:sz w:val="16"/>
        </w:rPr>
        <w:t>“Come Into the Black and Live”: Black LGBTQ Resistance to Archival Erasure</w:t>
      </w:r>
      <w:r w:rsidRPr="00E2068E">
        <w:rPr>
          <w:sz w:val="16"/>
        </w:rPr>
        <w:t xml:space="preserve">. Diss. The University of North Carolina at Chapel Hill, 2024. </w:t>
      </w:r>
      <w:hyperlink r:id="rId92" w:history="1">
        <w:r w:rsidRPr="00697199">
          <w:rPr>
            <w:rStyle w:val="Hyperlink"/>
          </w:rPr>
          <w:t>https://www.proquest.com/openview/62273e2af9381bddfc3e543ff25fa7ad/1?pq-origsite=gscholar&amp;cbl=18750&amp;diss=y</w:t>
        </w:r>
      </w:hyperlink>
      <w:r>
        <w:rPr>
          <w:sz w:val="16"/>
        </w:rPr>
        <w:t xml:space="preserve"> </w:t>
      </w:r>
      <w:r w:rsidRPr="00E2068E">
        <w:rPr>
          <w:sz w:val="16"/>
        </w:rPr>
        <w:t>//Irene</w:t>
      </w:r>
    </w:p>
    <w:p w14:paraId="38DCAF95" w14:textId="77777777" w:rsidR="00B4170C" w:rsidRPr="000A7368" w:rsidRDefault="00B4170C" w:rsidP="00B4170C">
      <w:pPr>
        <w:rPr>
          <w:rStyle w:val="StyleUnderline"/>
        </w:rPr>
      </w:pPr>
      <w:r w:rsidRPr="000A7368">
        <w:rPr>
          <w:sz w:val="16"/>
        </w:rPr>
        <w:t xml:space="preserve">In this study, I aim to expand the theoretical consideration of how Black queer and transgender people craft their own histories and landscapes through the radical acts of insurgent archiving. </w:t>
      </w:r>
      <w:r w:rsidRPr="000A7368">
        <w:rPr>
          <w:rStyle w:val="StyleUnderline"/>
        </w:rPr>
        <w:t xml:space="preserve">The </w:t>
      </w:r>
      <w:r w:rsidRPr="000A7368">
        <w:rPr>
          <w:rStyle w:val="StyleUnderline"/>
          <w:highlight w:val="cyan"/>
        </w:rPr>
        <w:t>Black</w:t>
      </w:r>
      <w:r w:rsidRPr="000A7368">
        <w:rPr>
          <w:rStyle w:val="StyleUnderline"/>
        </w:rPr>
        <w:t xml:space="preserve"> </w:t>
      </w:r>
      <w:r w:rsidRPr="000A7368">
        <w:rPr>
          <w:rStyle w:val="StyleUnderline"/>
          <w:highlight w:val="cyan"/>
        </w:rPr>
        <w:t>LGBTQ</w:t>
      </w:r>
      <w:r w:rsidRPr="000A7368">
        <w:rPr>
          <w:rStyle w:val="StyleUnderline"/>
        </w:rPr>
        <w:t xml:space="preserve"> subjects that I discuss in my dissertation </w:t>
      </w:r>
      <w:r w:rsidRPr="000A7368">
        <w:rPr>
          <w:rStyle w:val="StyleUnderline"/>
          <w:highlight w:val="cyan"/>
        </w:rPr>
        <w:t>fight to save</w:t>
      </w:r>
      <w:r w:rsidRPr="000A7368">
        <w:rPr>
          <w:rStyle w:val="StyleUnderline"/>
        </w:rPr>
        <w:t xml:space="preserve"> their lived </w:t>
      </w:r>
      <w:r w:rsidRPr="000A7368">
        <w:rPr>
          <w:rStyle w:val="StyleUnderline"/>
          <w:highlight w:val="cyan"/>
        </w:rPr>
        <w:t>experiences</w:t>
      </w:r>
      <w:r w:rsidRPr="000A7368">
        <w:rPr>
          <w:rStyle w:val="StyleUnderline"/>
        </w:rPr>
        <w:t xml:space="preserve">, histories, and communities </w:t>
      </w:r>
      <w:r w:rsidRPr="000A7368">
        <w:rPr>
          <w:rStyle w:val="StyleUnderline"/>
          <w:highlight w:val="cyan"/>
        </w:rPr>
        <w:t>from erasure by “the archive</w:t>
      </w:r>
      <w:r w:rsidRPr="000A7368">
        <w:rPr>
          <w:rStyle w:val="StyleUnderline"/>
        </w:rPr>
        <w:t xml:space="preserve">.” In my theorization of Black LGBTQ acts of archiving, I focus on the </w:t>
      </w:r>
      <w:r w:rsidRPr="000A7368">
        <w:rPr>
          <w:rStyle w:val="StyleUnderline"/>
          <w:highlight w:val="cyan"/>
        </w:rPr>
        <w:t>archives of self-articulation</w:t>
      </w:r>
      <w:r w:rsidRPr="000A7368">
        <w:rPr>
          <w:rStyle w:val="StyleUnderline"/>
        </w:rPr>
        <w:t xml:space="preserve"> that </w:t>
      </w:r>
      <w:r w:rsidRPr="000A7368">
        <w:rPr>
          <w:rStyle w:val="StyleUnderline"/>
          <w:highlight w:val="cyan"/>
        </w:rPr>
        <w:t>Black</w:t>
      </w:r>
      <w:r w:rsidRPr="000A7368">
        <w:rPr>
          <w:rStyle w:val="StyleUnderline"/>
        </w:rPr>
        <w:t xml:space="preserve"> queer and </w:t>
      </w:r>
      <w:r w:rsidRPr="000A7368">
        <w:rPr>
          <w:rStyle w:val="StyleUnderline"/>
          <w:highlight w:val="cyan"/>
        </w:rPr>
        <w:t>transgender</w:t>
      </w:r>
      <w:r w:rsidRPr="000A7368">
        <w:rPr>
          <w:rStyle w:val="StyleUnderline"/>
        </w:rPr>
        <w:t xml:space="preserve"> subjects </w:t>
      </w:r>
      <w:r w:rsidRPr="000A7368">
        <w:rPr>
          <w:rStyle w:val="StyleUnderline"/>
          <w:highlight w:val="cyan"/>
        </w:rPr>
        <w:t>create</w:t>
      </w:r>
      <w:r w:rsidRPr="000A7368">
        <w:rPr>
          <w:rStyle w:val="StyleUnderline"/>
        </w:rPr>
        <w:t xml:space="preserve"> </w:t>
      </w:r>
      <w:r w:rsidRPr="000A7368">
        <w:rPr>
          <w:rStyle w:val="StyleUnderline"/>
          <w:highlight w:val="cyan"/>
        </w:rPr>
        <w:t>in</w:t>
      </w:r>
      <w:r w:rsidRPr="000A7368">
        <w:rPr>
          <w:rStyle w:val="StyleUnderline"/>
        </w:rPr>
        <w:t xml:space="preserve"> their individual </w:t>
      </w:r>
      <w:r w:rsidRPr="000A7368">
        <w:rPr>
          <w:rStyle w:val="StyleUnderline"/>
          <w:highlight w:val="cyan"/>
        </w:rPr>
        <w:t>processes of subverting “the archive</w:t>
      </w:r>
      <w:r w:rsidRPr="000A7368">
        <w:rPr>
          <w:rStyle w:val="StyleUnderline"/>
        </w:rPr>
        <w:t>.”</w:t>
      </w:r>
      <w:r w:rsidRPr="000A7368">
        <w:rPr>
          <w:sz w:val="16"/>
        </w:rPr>
        <w:t xml:space="preserve"> For the purposes of this study, I define Black LGBTQ subjects’ renegotiation of “the archive’s” oppressive narratives and geographic definition as insurgent archiving. Insurgent archiving, in its multitudes, indicates the </w:t>
      </w:r>
      <w:r w:rsidRPr="000A7368">
        <w:rPr>
          <w:rStyle w:val="StyleUnderline"/>
        </w:rPr>
        <w:t xml:space="preserve">various means through which </w:t>
      </w:r>
      <w:r w:rsidRPr="000A7368">
        <w:rPr>
          <w:rStyle w:val="StyleUnderline"/>
          <w:highlight w:val="cyan"/>
        </w:rPr>
        <w:t>Black</w:t>
      </w:r>
      <w:r w:rsidRPr="000A7368">
        <w:rPr>
          <w:rStyle w:val="StyleUnderline"/>
        </w:rPr>
        <w:t xml:space="preserve"> queer and </w:t>
      </w:r>
      <w:r w:rsidRPr="000A7368">
        <w:rPr>
          <w:rStyle w:val="StyleUnderline"/>
          <w:highlight w:val="cyan"/>
        </w:rPr>
        <w:t>transgender</w:t>
      </w:r>
      <w:r w:rsidRPr="000A7368">
        <w:rPr>
          <w:rStyle w:val="StyleUnderline"/>
        </w:rPr>
        <w:t xml:space="preserve"> </w:t>
      </w:r>
      <w:r w:rsidRPr="000A7368">
        <w:rPr>
          <w:rStyle w:val="StyleUnderline"/>
          <w:highlight w:val="cyan"/>
        </w:rPr>
        <w:t>people</w:t>
      </w:r>
      <w:r w:rsidRPr="000A7368">
        <w:rPr>
          <w:rStyle w:val="StyleUnderline"/>
        </w:rPr>
        <w:t xml:space="preserve"> </w:t>
      </w:r>
      <w:r w:rsidRPr="000A7368">
        <w:rPr>
          <w:rStyle w:val="StyleUnderline"/>
          <w:highlight w:val="cyan"/>
        </w:rPr>
        <w:t>enact performative negotiations</w:t>
      </w:r>
      <w:r w:rsidRPr="000A7368">
        <w:rPr>
          <w:rStyle w:val="StyleUnderline"/>
        </w:rPr>
        <w:t xml:space="preserve"> of themselves and their identities </w:t>
      </w:r>
      <w:r w:rsidRPr="000A7368">
        <w:rPr>
          <w:rStyle w:val="StyleUnderline"/>
          <w:highlight w:val="cyan"/>
        </w:rPr>
        <w:t>in relation to “the archive’s</w:t>
      </w:r>
      <w:r w:rsidRPr="000A7368">
        <w:rPr>
          <w:rStyle w:val="StyleUnderline"/>
        </w:rPr>
        <w:t xml:space="preserve">” </w:t>
      </w:r>
      <w:r w:rsidRPr="000A7368">
        <w:rPr>
          <w:rStyle w:val="StyleUnderline"/>
          <w:highlight w:val="cyan"/>
        </w:rPr>
        <w:t>oppressive</w:t>
      </w:r>
      <w:r w:rsidRPr="000A7368">
        <w:rPr>
          <w:rStyle w:val="StyleUnderline"/>
        </w:rPr>
        <w:t xml:space="preserve"> historical </w:t>
      </w:r>
      <w:r w:rsidRPr="000A7368">
        <w:rPr>
          <w:rStyle w:val="StyleUnderline"/>
          <w:highlight w:val="cyan"/>
        </w:rPr>
        <w:t>narratives</w:t>
      </w:r>
      <w:r w:rsidRPr="000A7368">
        <w:rPr>
          <w:rStyle w:val="StyleUnderline"/>
        </w:rPr>
        <w:t xml:space="preserve">, geographies, and ideologies. These </w:t>
      </w:r>
      <w:r w:rsidRPr="000A7368">
        <w:rPr>
          <w:rStyle w:val="StyleUnderline"/>
          <w:highlight w:val="cyan"/>
        </w:rPr>
        <w:t>acts of insurgent archiving result in preservationist</w:t>
      </w:r>
      <w:r w:rsidRPr="000A7368">
        <w:rPr>
          <w:rStyle w:val="StyleUnderline"/>
        </w:rPr>
        <w:t xml:space="preserve"> sites of </w:t>
      </w:r>
      <w:r w:rsidRPr="000A7368">
        <w:rPr>
          <w:rStyle w:val="StyleUnderline"/>
          <w:highlight w:val="cyan"/>
        </w:rPr>
        <w:t>self-articulation</w:t>
      </w:r>
      <w:r w:rsidRPr="000A7368">
        <w:rPr>
          <w:rStyle w:val="StyleUnderline"/>
        </w:rPr>
        <w:t xml:space="preserve"> that, I argue, can </w:t>
      </w:r>
      <w:r w:rsidRPr="000A7368">
        <w:rPr>
          <w:rStyle w:val="StyleUnderline"/>
          <w:highlight w:val="cyan"/>
        </w:rPr>
        <w:t>constitute</w:t>
      </w:r>
      <w:r w:rsidRPr="000A7368">
        <w:rPr>
          <w:rStyle w:val="StyleUnderline"/>
        </w:rPr>
        <w:t xml:space="preserve"> the blueprints for </w:t>
      </w:r>
      <w:r w:rsidRPr="000A7368">
        <w:rPr>
          <w:rStyle w:val="StyleUnderline"/>
          <w:highlight w:val="cyan"/>
        </w:rPr>
        <w:t>worlds beyond</w:t>
      </w:r>
      <w:r w:rsidRPr="000A7368">
        <w:rPr>
          <w:rStyle w:val="StyleUnderline"/>
        </w:rPr>
        <w:t xml:space="preserve"> the control of “</w:t>
      </w:r>
      <w:r w:rsidRPr="000A7368">
        <w:rPr>
          <w:rStyle w:val="StyleUnderline"/>
          <w:highlight w:val="cyan"/>
        </w:rPr>
        <w:t>the archive</w:t>
      </w:r>
      <w:r w:rsidRPr="000A7368">
        <w:rPr>
          <w:rStyle w:val="StyleUnderline"/>
        </w:rPr>
        <w:t>.”</w:t>
      </w:r>
    </w:p>
    <w:p w14:paraId="0548B2CD" w14:textId="77777777" w:rsidR="00B4170C" w:rsidRPr="000A7368" w:rsidRDefault="00B4170C" w:rsidP="00B4170C">
      <w:pPr>
        <w:rPr>
          <w:rStyle w:val="StyleUnderline"/>
        </w:rPr>
      </w:pPr>
      <w:r w:rsidRPr="000A7368">
        <w:rPr>
          <w:rStyle w:val="StyleUnderline"/>
        </w:rPr>
        <w:lastRenderedPageBreak/>
        <w:t xml:space="preserve">My methods to examine these </w:t>
      </w:r>
      <w:r w:rsidRPr="000A7368">
        <w:rPr>
          <w:rStyle w:val="StyleUnderline"/>
          <w:highlight w:val="cyan"/>
        </w:rPr>
        <w:t>acts of insurgent archiving</w:t>
      </w:r>
      <w:r w:rsidRPr="000A7368">
        <w:rPr>
          <w:rStyle w:val="StyleUnderline"/>
        </w:rPr>
        <w:t xml:space="preserve"> are </w:t>
      </w:r>
      <w:r w:rsidRPr="000A7368">
        <w:rPr>
          <w:rStyle w:val="StyleUnderline"/>
          <w:highlight w:val="cyan"/>
        </w:rPr>
        <w:t>woven together</w:t>
      </w:r>
      <w:r w:rsidRPr="000A7368">
        <w:rPr>
          <w:rStyle w:val="StyleUnderline"/>
        </w:rPr>
        <w:t xml:space="preserve"> from my engagement </w:t>
      </w:r>
      <w:r w:rsidRPr="000A7368">
        <w:rPr>
          <w:rStyle w:val="StyleUnderline"/>
          <w:highlight w:val="cyan"/>
        </w:rPr>
        <w:t>with counter-archival</w:t>
      </w:r>
      <w:r w:rsidRPr="000A7368">
        <w:rPr>
          <w:rStyle w:val="StyleUnderline"/>
        </w:rPr>
        <w:t xml:space="preserve">, critical fabulatory, </w:t>
      </w:r>
      <w:r w:rsidRPr="000A7368">
        <w:rPr>
          <w:rStyle w:val="StyleUnderline"/>
          <w:highlight w:val="cyan"/>
        </w:rPr>
        <w:t>and</w:t>
      </w:r>
      <w:r w:rsidRPr="000A7368">
        <w:rPr>
          <w:rStyle w:val="StyleUnderline"/>
        </w:rPr>
        <w:t xml:space="preserve"> institutionally </w:t>
      </w:r>
      <w:r w:rsidRPr="000A7368">
        <w:rPr>
          <w:rStyle w:val="StyleUnderline"/>
          <w:highlight w:val="cyan"/>
        </w:rPr>
        <w:t>subversive scholarship</w:t>
      </w:r>
      <w:r w:rsidRPr="000A7368">
        <w:rPr>
          <w:rStyle w:val="StyleUnderline"/>
        </w:rPr>
        <w:t xml:space="preserve"> concerning Black LGBTQ identity in relation to spatial-historical control.</w:t>
      </w:r>
      <w:r w:rsidRPr="000A7368">
        <w:rPr>
          <w:sz w:val="16"/>
        </w:rPr>
        <w:t xml:space="preserve"> </w:t>
      </w:r>
      <w:r w:rsidRPr="000A7368">
        <w:rPr>
          <w:rStyle w:val="StyleUnderline"/>
        </w:rPr>
        <w:t xml:space="preserve">Melvin </w:t>
      </w:r>
      <w:r w:rsidRPr="000A7368">
        <w:rPr>
          <w:rStyle w:val="StyleUnderline"/>
          <w:highlight w:val="cyan"/>
        </w:rPr>
        <w:t>Dixon’s</w:t>
      </w:r>
      <w:r w:rsidRPr="000A7368">
        <w:rPr>
          <w:rStyle w:val="StyleUnderline"/>
        </w:rPr>
        <w:t xml:space="preserve"> instantiation of an Afro-centric, performative, </w:t>
      </w:r>
      <w:r w:rsidRPr="000A7368">
        <w:rPr>
          <w:rStyle w:val="StyleUnderline"/>
          <w:highlight w:val="cyan"/>
        </w:rPr>
        <w:t>geographic theory of Black American identity</w:t>
      </w:r>
      <w:r w:rsidRPr="000A7368">
        <w:rPr>
          <w:rStyle w:val="StyleUnderline"/>
        </w:rPr>
        <w:t xml:space="preserve"> formation in Ride Out the Wilderness: Geography and Identity in Afro-American Literature (1987) is an </w:t>
      </w:r>
      <w:r w:rsidRPr="000A7368">
        <w:rPr>
          <w:rStyle w:val="StyleUnderline"/>
          <w:highlight w:val="cyan"/>
        </w:rPr>
        <w:t>essential</w:t>
      </w:r>
      <w:r w:rsidRPr="000A7368">
        <w:rPr>
          <w:rStyle w:val="StyleUnderline"/>
        </w:rPr>
        <w:t xml:space="preserve"> forebear </w:t>
      </w:r>
      <w:r w:rsidRPr="000A7368">
        <w:rPr>
          <w:rStyle w:val="StyleUnderline"/>
          <w:highlight w:val="cyan"/>
        </w:rPr>
        <w:t>to</w:t>
      </w:r>
      <w:r w:rsidRPr="000A7368">
        <w:rPr>
          <w:rStyle w:val="StyleUnderline"/>
        </w:rPr>
        <w:t xml:space="preserve"> Black critical geographic studies and my own </w:t>
      </w:r>
      <w:r w:rsidRPr="000A7368">
        <w:rPr>
          <w:rStyle w:val="StyleUnderline"/>
          <w:highlight w:val="cyan"/>
        </w:rPr>
        <w:t>analysis of Black LGBTQ interactions</w:t>
      </w:r>
      <w:r w:rsidRPr="000A7368">
        <w:rPr>
          <w:rStyle w:val="StyleUnderline"/>
        </w:rPr>
        <w:t xml:space="preserve"> </w:t>
      </w:r>
      <w:r w:rsidRPr="000A7368">
        <w:rPr>
          <w:rStyle w:val="StyleUnderline"/>
          <w:highlight w:val="cyan"/>
        </w:rPr>
        <w:t>with</w:t>
      </w:r>
      <w:r w:rsidRPr="000A7368">
        <w:rPr>
          <w:rStyle w:val="StyleUnderline"/>
        </w:rPr>
        <w:t xml:space="preserve"> the institution of “</w:t>
      </w:r>
      <w:r w:rsidRPr="000A7368">
        <w:rPr>
          <w:rStyle w:val="StyleUnderline"/>
          <w:highlight w:val="cyan"/>
        </w:rPr>
        <w:t>the archive.”</w:t>
      </w:r>
      <w:r w:rsidRPr="000A7368">
        <w:rPr>
          <w:sz w:val="16"/>
        </w:rPr>
        <w:t xml:space="preserve"> The first scholarly publication that seriously considers the relationship between Black Americans and the landscapes of the United States, Dixon argues that “the dominant society persists in making black Americans feel, as one song puts it, ‘the world is not my home’…and…this country offers No Place to be Somebody” (1-2, emphasis in original). </w:t>
      </w:r>
      <w:r w:rsidRPr="000A7368">
        <w:rPr>
          <w:rStyle w:val="StyleUnderline"/>
        </w:rPr>
        <w:t xml:space="preserve">His reevaluation of the stereotypes of </w:t>
      </w:r>
      <w:r w:rsidRPr="000A7368">
        <w:rPr>
          <w:rStyle w:val="StyleUnderline"/>
          <w:highlight w:val="cyan"/>
        </w:rPr>
        <w:t>Black writers</w:t>
      </w:r>
      <w:r w:rsidRPr="000A7368">
        <w:rPr>
          <w:rStyle w:val="StyleUnderline"/>
        </w:rPr>
        <w:t xml:space="preserve"> and subjects in the United States as “homeless, </w:t>
      </w:r>
      <w:r w:rsidRPr="000A7368">
        <w:rPr>
          <w:rStyle w:val="StyleUnderline"/>
          <w:highlight w:val="cyan"/>
        </w:rPr>
        <w:t>alienated</w:t>
      </w:r>
      <w:r w:rsidRPr="000A7368">
        <w:rPr>
          <w:rStyle w:val="StyleUnderline"/>
        </w:rPr>
        <w:t xml:space="preserve"> </w:t>
      </w:r>
      <w:r w:rsidRPr="000A7368">
        <w:rPr>
          <w:rStyle w:val="StyleUnderline"/>
          <w:highlight w:val="cyan"/>
        </w:rPr>
        <w:t>from</w:t>
      </w:r>
      <w:r w:rsidRPr="000A7368">
        <w:rPr>
          <w:rStyle w:val="StyleUnderline"/>
        </w:rPr>
        <w:t xml:space="preserve"> mainstream </w:t>
      </w:r>
      <w:r w:rsidRPr="000A7368">
        <w:rPr>
          <w:rStyle w:val="StyleUnderline"/>
          <w:highlight w:val="cyan"/>
        </w:rPr>
        <w:t>culture</w:t>
      </w:r>
      <w:r w:rsidRPr="000A7368">
        <w:rPr>
          <w:rStyle w:val="StyleUnderline"/>
        </w:rPr>
        <w:t xml:space="preserve">, and segregated in negative environments” </w:t>
      </w:r>
      <w:r w:rsidRPr="000A7368">
        <w:rPr>
          <w:rStyle w:val="StyleUnderline"/>
          <w:highlight w:val="cyan"/>
        </w:rPr>
        <w:t>proposes</w:t>
      </w:r>
      <w:r w:rsidRPr="000A7368">
        <w:rPr>
          <w:rStyle w:val="StyleUnderline"/>
        </w:rPr>
        <w:t xml:space="preserve"> an </w:t>
      </w:r>
      <w:r w:rsidRPr="000A7368">
        <w:rPr>
          <w:rStyle w:val="StyleUnderline"/>
          <w:highlight w:val="cyan"/>
        </w:rPr>
        <w:t>Afro-centric theory of Black American geographic re-creation</w:t>
      </w:r>
      <w:r w:rsidRPr="000A7368">
        <w:rPr>
          <w:rStyle w:val="StyleUnderline"/>
        </w:rPr>
        <w:t xml:space="preserve"> (2). Dixon theorizes the move from Black “rootlessness to rootedness,” which allows American landscapes to become spaces for Black “performance of identity” (3, 6).</w:t>
      </w:r>
    </w:p>
    <w:p w14:paraId="51001832" w14:textId="77777777" w:rsidR="00B4170C" w:rsidRPr="000A7368" w:rsidRDefault="00B4170C" w:rsidP="00B4170C">
      <w:pPr>
        <w:rPr>
          <w:rStyle w:val="StyleUnderline"/>
        </w:rPr>
      </w:pPr>
      <w:r w:rsidRPr="000A7368">
        <w:rPr>
          <w:sz w:val="16"/>
        </w:rPr>
        <w:t xml:space="preserve">Dixon’s overall scholarly and creative exploration of “the relationship between geography, memory, and identity” “demonstrates,” to quote Darius Bost, “how African American writers have used imaginative texts to make placed-based claims for more positive identity constructions” (98). 19 </w:t>
      </w:r>
      <w:r w:rsidRPr="000A7368">
        <w:rPr>
          <w:rStyle w:val="StyleUnderline"/>
        </w:rPr>
        <w:t xml:space="preserve">The </w:t>
      </w:r>
      <w:r w:rsidRPr="000A7368">
        <w:rPr>
          <w:rStyle w:val="StyleUnderline"/>
          <w:highlight w:val="cyan"/>
        </w:rPr>
        <w:t>performative identity</w:t>
      </w:r>
      <w:r w:rsidRPr="000A7368">
        <w:rPr>
          <w:rStyle w:val="StyleUnderline"/>
        </w:rPr>
        <w:t xml:space="preserve"> theories </w:t>
      </w:r>
      <w:r w:rsidRPr="000A7368">
        <w:rPr>
          <w:rStyle w:val="StyleUnderline"/>
          <w:highlight w:val="cyan"/>
        </w:rPr>
        <w:t>of</w:t>
      </w:r>
      <w:r w:rsidRPr="000A7368">
        <w:rPr>
          <w:rStyle w:val="StyleUnderline"/>
        </w:rPr>
        <w:t xml:space="preserve"> José Esteban </w:t>
      </w:r>
      <w:r w:rsidRPr="000A7368">
        <w:rPr>
          <w:rStyle w:val="StyleUnderline"/>
          <w:highlight w:val="cyan"/>
        </w:rPr>
        <w:t>Muñoz</w:t>
      </w:r>
      <w:r w:rsidRPr="000A7368">
        <w:rPr>
          <w:rStyle w:val="StyleUnderline"/>
        </w:rPr>
        <w:t xml:space="preserve"> </w:t>
      </w:r>
      <w:r w:rsidRPr="000A7368">
        <w:rPr>
          <w:rStyle w:val="StyleUnderline"/>
          <w:highlight w:val="cyan"/>
        </w:rPr>
        <w:t>and</w:t>
      </w:r>
      <w:r w:rsidRPr="000A7368">
        <w:rPr>
          <w:rStyle w:val="StyleUnderline"/>
        </w:rPr>
        <w:t xml:space="preserve"> Daphne </w:t>
      </w:r>
      <w:r w:rsidRPr="000A7368">
        <w:rPr>
          <w:rStyle w:val="StyleUnderline"/>
          <w:highlight w:val="cyan"/>
        </w:rPr>
        <w:t>Brooks</w:t>
      </w:r>
      <w:r w:rsidRPr="000A7368">
        <w:rPr>
          <w:rStyle w:val="StyleUnderline"/>
        </w:rPr>
        <w:t xml:space="preserve"> are additional </w:t>
      </w:r>
      <w:r w:rsidRPr="000A7368">
        <w:rPr>
          <w:rStyle w:val="StyleUnderline"/>
          <w:highlight w:val="cyan"/>
        </w:rPr>
        <w:t>pieces of scholarship that inform</w:t>
      </w:r>
      <w:r w:rsidRPr="000A7368">
        <w:rPr>
          <w:rStyle w:val="StyleUnderline"/>
        </w:rPr>
        <w:t xml:space="preserve"> my theory’s </w:t>
      </w:r>
      <w:r w:rsidRPr="000A7368">
        <w:rPr>
          <w:rStyle w:val="StyleUnderline"/>
          <w:highlight w:val="cyan"/>
        </w:rPr>
        <w:t>analysis of</w:t>
      </w:r>
      <w:r w:rsidRPr="000A7368">
        <w:rPr>
          <w:rStyle w:val="StyleUnderline"/>
        </w:rPr>
        <w:t xml:space="preserve"> Black LGBTQ </w:t>
      </w:r>
      <w:r w:rsidRPr="000A7368">
        <w:rPr>
          <w:rStyle w:val="StyleUnderline"/>
          <w:highlight w:val="cyan"/>
        </w:rPr>
        <w:t>performative</w:t>
      </w:r>
      <w:r w:rsidRPr="000A7368">
        <w:rPr>
          <w:rStyle w:val="StyleUnderline"/>
        </w:rPr>
        <w:t xml:space="preserve"> </w:t>
      </w:r>
      <w:r w:rsidRPr="000A7368">
        <w:rPr>
          <w:rStyle w:val="StyleUnderline"/>
          <w:highlight w:val="cyan"/>
        </w:rPr>
        <w:t>negotiation with historic</w:t>
      </w:r>
      <w:r w:rsidRPr="000A7368">
        <w:rPr>
          <w:rStyle w:val="StyleUnderline"/>
        </w:rPr>
        <w:t xml:space="preserve"> and geographic meaning and </w:t>
      </w:r>
      <w:r w:rsidRPr="000A7368">
        <w:rPr>
          <w:rStyle w:val="StyleUnderline"/>
          <w:highlight w:val="cyan"/>
        </w:rPr>
        <w:t>power</w:t>
      </w:r>
      <w:r w:rsidRPr="000A7368">
        <w:rPr>
          <w:rStyle w:val="StyleUnderline"/>
        </w:rPr>
        <w:t>.</w:t>
      </w:r>
      <w:r w:rsidRPr="000A7368">
        <w:rPr>
          <w:sz w:val="16"/>
        </w:rPr>
        <w:t xml:space="preserve"> In his critical monograph Disidentifications: Queers of Color and the Performance of Politics (1999),</w:t>
      </w:r>
      <w:r w:rsidRPr="000A7368">
        <w:rPr>
          <w:rStyle w:val="StyleUnderline"/>
        </w:rPr>
        <w:t xml:space="preserve"> Muñoz theorizes that </w:t>
      </w:r>
      <w:r w:rsidRPr="000A7368">
        <w:rPr>
          <w:rStyle w:val="StyleUnderline"/>
          <w:highlight w:val="cyan"/>
        </w:rPr>
        <w:t>LGBTQ people of color interact with</w:t>
      </w:r>
      <w:r w:rsidRPr="000A7368">
        <w:rPr>
          <w:rStyle w:val="StyleUnderline"/>
        </w:rPr>
        <w:t xml:space="preserve"> </w:t>
      </w:r>
      <w:r w:rsidRPr="000A7368">
        <w:rPr>
          <w:rStyle w:val="StyleUnderline"/>
          <w:highlight w:val="cyan"/>
        </w:rPr>
        <w:t xml:space="preserve">harmful </w:t>
      </w:r>
      <w:r w:rsidRPr="000A7368">
        <w:rPr>
          <w:rStyle w:val="StyleUnderline"/>
        </w:rPr>
        <w:t xml:space="preserve">stereotypes and oppressive </w:t>
      </w:r>
      <w:r w:rsidRPr="000A7368">
        <w:rPr>
          <w:rStyle w:val="StyleUnderline"/>
          <w:highlight w:val="cyan"/>
        </w:rPr>
        <w:t>structures through</w:t>
      </w:r>
      <w:r w:rsidRPr="000A7368">
        <w:rPr>
          <w:rStyle w:val="StyleUnderline"/>
        </w:rPr>
        <w:t xml:space="preserve"> the practice of </w:t>
      </w:r>
      <w:r w:rsidRPr="000A7368">
        <w:rPr>
          <w:rStyle w:val="StyleUnderline"/>
          <w:highlight w:val="cyan"/>
        </w:rPr>
        <w:t>disidentifying</w:t>
      </w:r>
      <w:r w:rsidRPr="000A7368">
        <w:rPr>
          <w:rStyle w:val="StyleUnderline"/>
        </w:rPr>
        <w:t xml:space="preserve">. A method of allaying the destructive forces of oppressive ideologies and institutions that reign over minoritarian subjects, </w:t>
      </w:r>
      <w:r w:rsidRPr="000A7368">
        <w:rPr>
          <w:rStyle w:val="StyleUnderline"/>
          <w:highlight w:val="cyan"/>
        </w:rPr>
        <w:t>disidentifying allows</w:t>
      </w:r>
      <w:r w:rsidRPr="000A7368">
        <w:rPr>
          <w:rStyle w:val="StyleUnderline"/>
        </w:rPr>
        <w:t xml:space="preserve"> </w:t>
      </w:r>
      <w:r w:rsidRPr="000A7368">
        <w:rPr>
          <w:rStyle w:val="StyleUnderline"/>
          <w:highlight w:val="cyan"/>
        </w:rPr>
        <w:t>marginalized</w:t>
      </w:r>
      <w:r w:rsidRPr="000A7368">
        <w:rPr>
          <w:rStyle w:val="StyleUnderline"/>
        </w:rPr>
        <w:t xml:space="preserve"> subjects </w:t>
      </w:r>
      <w:r w:rsidRPr="000A7368">
        <w:rPr>
          <w:rStyle w:val="StyleUnderline"/>
          <w:highlight w:val="cyan"/>
        </w:rPr>
        <w:t>to</w:t>
      </w:r>
      <w:r w:rsidRPr="000A7368">
        <w:rPr>
          <w:rStyle w:val="StyleUnderline"/>
        </w:rPr>
        <w:t xml:space="preserve"> </w:t>
      </w:r>
      <w:r w:rsidRPr="000A7368">
        <w:rPr>
          <w:rStyle w:val="StyleUnderline"/>
          <w:highlight w:val="cyan"/>
        </w:rPr>
        <w:t>mediate</w:t>
      </w:r>
      <w:r w:rsidRPr="000A7368">
        <w:rPr>
          <w:rStyle w:val="StyleUnderline"/>
        </w:rPr>
        <w:t xml:space="preserve"> and repurpose stereotypical portrayals and </w:t>
      </w:r>
      <w:r w:rsidRPr="000A7368">
        <w:rPr>
          <w:rStyle w:val="StyleUnderline"/>
          <w:highlight w:val="cyan"/>
        </w:rPr>
        <w:t>harmful ideologies</w:t>
      </w:r>
      <w:r w:rsidRPr="000A7368">
        <w:rPr>
          <w:rStyle w:val="StyleUnderline"/>
        </w:rPr>
        <w:t xml:space="preserve"> to give them agency over their identities.</w:t>
      </w:r>
      <w:r w:rsidRPr="000A7368">
        <w:rPr>
          <w:sz w:val="16"/>
        </w:rPr>
        <w:t xml:space="preserve"> Muñoz characterizes disidentification as “descriptive of the survival strategies the minority subject practices of negotiating a phobic majoritarian public sphere that continuously elides or punishes subjects who do not conform to the phantasm of normative citizenship.” Muñoz does not see the acts of disidentifying as able to totally dispel this “phantasm” or its wrath, or even as a ploy to assimilate to the needs of the “majoritarian public sphere” (4). </w:t>
      </w:r>
      <w:r w:rsidRPr="000A7368">
        <w:rPr>
          <w:rStyle w:val="StyleUnderline"/>
        </w:rPr>
        <w:t xml:space="preserve">Rather, </w:t>
      </w:r>
      <w:r w:rsidRPr="000A7368">
        <w:rPr>
          <w:rStyle w:val="StyleUnderline"/>
          <w:highlight w:val="cyan"/>
        </w:rPr>
        <w:t>disidentifying</w:t>
      </w:r>
      <w:r w:rsidRPr="000A7368">
        <w:rPr>
          <w:rStyle w:val="StyleUnderline"/>
        </w:rPr>
        <w:t xml:space="preserve"> is more </w:t>
      </w:r>
      <w:r w:rsidRPr="000A7368">
        <w:rPr>
          <w:rStyle w:val="StyleUnderline"/>
          <w:highlight w:val="cyan"/>
        </w:rPr>
        <w:t>akin to</w:t>
      </w:r>
      <w:r w:rsidRPr="000A7368">
        <w:rPr>
          <w:rStyle w:val="StyleUnderline"/>
        </w:rPr>
        <w:t xml:space="preserve"> a “third mode” or “</w:t>
      </w:r>
      <w:r w:rsidRPr="000A7368">
        <w:rPr>
          <w:rStyle w:val="StyleUnderline"/>
          <w:highlight w:val="cyan"/>
        </w:rPr>
        <w:t>work[ing]</w:t>
      </w:r>
      <w:r w:rsidRPr="000A7368">
        <w:rPr>
          <w:rStyle w:val="StyleUnderline"/>
        </w:rPr>
        <w:t xml:space="preserve"> on and </w:t>
      </w:r>
      <w:r w:rsidRPr="000A7368">
        <w:rPr>
          <w:rStyle w:val="StyleUnderline"/>
          <w:highlight w:val="cyan"/>
        </w:rPr>
        <w:t>against dominant ideology</w:t>
      </w:r>
      <w:r w:rsidRPr="000A7368">
        <w:rPr>
          <w:rStyle w:val="StyleUnderline"/>
        </w:rPr>
        <w:t xml:space="preserve">” (11). More like a dance or a constant negotiation, </w:t>
      </w:r>
      <w:r w:rsidRPr="000A7368">
        <w:rPr>
          <w:rStyle w:val="StyleUnderline"/>
          <w:highlight w:val="cyan"/>
        </w:rPr>
        <w:t>disidentifying as</w:t>
      </w:r>
      <w:r w:rsidRPr="000A7368">
        <w:rPr>
          <w:rStyle w:val="StyleUnderline"/>
        </w:rPr>
        <w:t xml:space="preserve"> a “mode of </w:t>
      </w:r>
      <w:r w:rsidRPr="000A7368">
        <w:rPr>
          <w:rStyle w:val="StyleUnderline"/>
          <w:highlight w:val="cyan"/>
        </w:rPr>
        <w:t>performance</w:t>
      </w:r>
      <w:r w:rsidRPr="000A7368">
        <w:rPr>
          <w:rStyle w:val="StyleUnderline"/>
        </w:rPr>
        <w:t xml:space="preserve">” </w:t>
      </w:r>
      <w:r w:rsidRPr="000A7368">
        <w:rPr>
          <w:rStyle w:val="StyleUnderline"/>
          <w:highlight w:val="cyan"/>
        </w:rPr>
        <w:t>forms</w:t>
      </w:r>
      <w:r w:rsidRPr="000A7368">
        <w:rPr>
          <w:rStyle w:val="StyleUnderline"/>
        </w:rPr>
        <w:t xml:space="preserve"> a </w:t>
      </w:r>
      <w:r w:rsidRPr="000A7368">
        <w:rPr>
          <w:rStyle w:val="StyleUnderline"/>
          <w:highlight w:val="cyan"/>
        </w:rPr>
        <w:t>dialogue</w:t>
      </w:r>
      <w:r w:rsidRPr="000A7368">
        <w:rPr>
          <w:rStyle w:val="StyleUnderline"/>
        </w:rPr>
        <w:t xml:space="preserve"> </w:t>
      </w:r>
      <w:r w:rsidRPr="000A7368">
        <w:rPr>
          <w:rStyle w:val="StyleUnderline"/>
          <w:highlight w:val="cyan"/>
        </w:rPr>
        <w:t>between</w:t>
      </w:r>
      <w:r w:rsidRPr="000A7368">
        <w:rPr>
          <w:rStyle w:val="StyleUnderline"/>
        </w:rPr>
        <w:t xml:space="preserve"> the </w:t>
      </w:r>
      <w:r w:rsidRPr="000A7368">
        <w:rPr>
          <w:rStyle w:val="StyleUnderline"/>
          <w:highlight w:val="cyan"/>
        </w:rPr>
        <w:t>LGBTQ</w:t>
      </w:r>
      <w:r w:rsidRPr="000A7368">
        <w:rPr>
          <w:rStyle w:val="StyleUnderline"/>
        </w:rPr>
        <w:t xml:space="preserve"> subject </w:t>
      </w:r>
      <w:r w:rsidRPr="000A7368">
        <w:rPr>
          <w:rStyle w:val="StyleUnderline"/>
          <w:highlight w:val="cyan"/>
        </w:rPr>
        <w:t>and</w:t>
      </w:r>
      <w:r w:rsidRPr="000A7368">
        <w:rPr>
          <w:rStyle w:val="StyleUnderline"/>
        </w:rPr>
        <w:t xml:space="preserve"> the </w:t>
      </w:r>
      <w:r w:rsidRPr="000A7368">
        <w:rPr>
          <w:rStyle w:val="StyleUnderline"/>
          <w:highlight w:val="cyan"/>
        </w:rPr>
        <w:t>oppressive</w:t>
      </w:r>
      <w:r w:rsidRPr="000A7368">
        <w:rPr>
          <w:rStyle w:val="StyleUnderline"/>
        </w:rPr>
        <w:t xml:space="preserve"> </w:t>
      </w:r>
      <w:r w:rsidRPr="000A7368">
        <w:rPr>
          <w:rStyle w:val="StyleUnderline"/>
          <w:highlight w:val="cyan"/>
        </w:rPr>
        <w:t>ideologies</w:t>
      </w:r>
      <w:r w:rsidRPr="000A7368">
        <w:rPr>
          <w:rStyle w:val="StyleUnderline"/>
        </w:rPr>
        <w:t xml:space="preserve"> they encounter. Through this negotiation, the minoritized subject can speak to, against, and over the structures that seek to constrict them.</w:t>
      </w:r>
      <w:r w:rsidRPr="000A7368">
        <w:rPr>
          <w:sz w:val="16"/>
        </w:rPr>
        <w:t xml:space="preserve"> Disidentification, however, is not just about making do or getting through (25). It is a path to agency, a path to reinvention—“a space to situate [oneself] in history and thus seize social agency” (1). Following in the lineage of Dixon’s theorization for the “transformation from rootlessness to rootedness” that can allow “Afro-American identity [to] [reinvent] itself” (Dixon 4), </w:t>
      </w:r>
      <w:r w:rsidRPr="000A7368">
        <w:rPr>
          <w:rStyle w:val="StyleUnderline"/>
        </w:rPr>
        <w:t>Muñoz declares the potential for queer counterpublics through acts of disidentification (Muñoz 5).</w:t>
      </w:r>
    </w:p>
    <w:p w14:paraId="0BAD1913" w14:textId="77777777" w:rsidR="00B4170C" w:rsidRPr="000A7368" w:rsidRDefault="00B4170C" w:rsidP="00B4170C">
      <w:pPr>
        <w:rPr>
          <w:sz w:val="16"/>
        </w:rPr>
      </w:pPr>
      <w:r w:rsidRPr="000A7368">
        <w:rPr>
          <w:rStyle w:val="StyleUnderline"/>
        </w:rPr>
        <w:t xml:space="preserve">Daphne </w:t>
      </w:r>
      <w:r w:rsidRPr="000A7368">
        <w:rPr>
          <w:rStyle w:val="StyleUnderline"/>
          <w:highlight w:val="cyan"/>
        </w:rPr>
        <w:t>Brooks’s</w:t>
      </w:r>
      <w:r w:rsidRPr="000A7368">
        <w:rPr>
          <w:rStyle w:val="StyleUnderline"/>
        </w:rPr>
        <w:t xml:space="preserve"> 2006 text Bodies in Dissent: Spectacular Performances of Race and Freedom, 1850–1910 </w:t>
      </w:r>
      <w:r w:rsidRPr="000A7368">
        <w:rPr>
          <w:rStyle w:val="StyleUnderline"/>
          <w:highlight w:val="cyan"/>
        </w:rPr>
        <w:t>theorizes performative identity</w:t>
      </w:r>
      <w:r w:rsidRPr="000A7368">
        <w:rPr>
          <w:rStyle w:val="StyleUnderline"/>
        </w:rPr>
        <w:t xml:space="preserve"> (re)mediation in the context of late-19 th and early-20 th century Black performance </w:t>
      </w:r>
      <w:r w:rsidRPr="000A7368">
        <w:rPr>
          <w:rStyle w:val="StyleUnderline"/>
          <w:highlight w:val="cyan"/>
        </w:rPr>
        <w:t>in</w:t>
      </w:r>
      <w:r w:rsidRPr="000A7368">
        <w:rPr>
          <w:rStyle w:val="StyleUnderline"/>
        </w:rPr>
        <w:t xml:space="preserve"> the </w:t>
      </w:r>
      <w:r w:rsidRPr="000A7368">
        <w:rPr>
          <w:rStyle w:val="StyleUnderline"/>
          <w:highlight w:val="cyan"/>
        </w:rPr>
        <w:t>U</w:t>
      </w:r>
      <w:r w:rsidRPr="000A7368">
        <w:rPr>
          <w:rStyle w:val="StyleUnderline"/>
        </w:rPr>
        <w:t xml:space="preserve">nited </w:t>
      </w:r>
      <w:r w:rsidRPr="000A7368">
        <w:rPr>
          <w:rStyle w:val="StyleUnderline"/>
          <w:highlight w:val="cyan"/>
        </w:rPr>
        <w:t>S</w:t>
      </w:r>
      <w:r w:rsidRPr="000A7368">
        <w:rPr>
          <w:rStyle w:val="StyleUnderline"/>
        </w:rPr>
        <w:t>tates.</w:t>
      </w:r>
      <w:r w:rsidRPr="000A7368">
        <w:rPr>
          <w:sz w:val="16"/>
        </w:rPr>
        <w:t xml:space="preserve"> Reconsidering the careers of figures such as Henry “Box” Brown and Aida Overton Walker, </w:t>
      </w:r>
      <w:r w:rsidRPr="000A7368">
        <w:rPr>
          <w:rStyle w:val="StyleUnderline"/>
        </w:rPr>
        <w:t xml:space="preserve">Brooks asserts that these </w:t>
      </w:r>
      <w:r w:rsidRPr="000A7368">
        <w:rPr>
          <w:rStyle w:val="StyleUnderline"/>
          <w:highlight w:val="cyan"/>
        </w:rPr>
        <w:t>performances</w:t>
      </w:r>
      <w:r w:rsidRPr="000A7368">
        <w:rPr>
          <w:rStyle w:val="StyleUnderline"/>
        </w:rPr>
        <w:t xml:space="preserve"> can be </w:t>
      </w:r>
      <w:r w:rsidRPr="000A7368">
        <w:rPr>
          <w:rStyle w:val="StyleUnderline"/>
          <w:highlight w:val="cyan"/>
        </w:rPr>
        <w:t>read as</w:t>
      </w:r>
      <w:r w:rsidRPr="000A7368">
        <w:rPr>
          <w:rStyle w:val="StyleUnderline"/>
        </w:rPr>
        <w:t xml:space="preserve"> </w:t>
      </w:r>
      <w:r w:rsidRPr="000A7368">
        <w:rPr>
          <w:rStyle w:val="StyleUnderline"/>
          <w:highlight w:val="cyan"/>
        </w:rPr>
        <w:t>acts</w:t>
      </w:r>
      <w:r w:rsidRPr="000A7368">
        <w:rPr>
          <w:rStyle w:val="StyleUnderline"/>
        </w:rPr>
        <w:t xml:space="preserve"> “</w:t>
      </w:r>
      <w:r w:rsidRPr="000A7368">
        <w:rPr>
          <w:rStyle w:val="StyleUnderline"/>
          <w:highlight w:val="cyan"/>
        </w:rPr>
        <w:t>to resist</w:t>
      </w:r>
      <w:r w:rsidRPr="000A7368">
        <w:rPr>
          <w:rStyle w:val="StyleUnderline"/>
        </w:rPr>
        <w:t xml:space="preserve">, complicate, and undo narrow racial, </w:t>
      </w:r>
      <w:r w:rsidRPr="000A7368">
        <w:rPr>
          <w:rStyle w:val="StyleUnderline"/>
          <w:highlight w:val="cyan"/>
        </w:rPr>
        <w:t>gender</w:t>
      </w:r>
      <w:r w:rsidRPr="000A7368">
        <w:rPr>
          <w:rStyle w:val="StyleUnderline"/>
        </w:rPr>
        <w:t xml:space="preserve">, sexual, and class </w:t>
      </w:r>
      <w:r w:rsidRPr="000A7368">
        <w:rPr>
          <w:rStyle w:val="StyleUnderline"/>
          <w:highlight w:val="cyan"/>
        </w:rPr>
        <w:t xml:space="preserve">categories in American </w:t>
      </w:r>
      <w:r w:rsidRPr="000A7368">
        <w:rPr>
          <w:rStyle w:val="StyleUnderline"/>
        </w:rPr>
        <w:t xml:space="preserve">and British </w:t>
      </w:r>
      <w:r w:rsidRPr="000A7368">
        <w:rPr>
          <w:rStyle w:val="StyleUnderline"/>
          <w:highlight w:val="cyan"/>
        </w:rPr>
        <w:t>cultures</w:t>
      </w:r>
      <w:r w:rsidRPr="000A7368">
        <w:rPr>
          <w:rStyle w:val="StyleUnderline"/>
        </w:rPr>
        <w:t>”</w:t>
      </w:r>
      <w:r w:rsidRPr="000A7368">
        <w:rPr>
          <w:sz w:val="16"/>
        </w:rPr>
        <w:t xml:space="preserve"> (3). In this vein, Brooks investigates the ways these performers reference the histories of Black systemic oppression in their performances and argues that these Black performers recreate and reenact “not only…a kind of ‘second sight’…but also…a critical form of dissonantly enlightened performance” (5).</w:t>
      </w:r>
      <w:r w:rsidRPr="000A7368">
        <w:rPr>
          <w:rStyle w:val="StyleUnderline"/>
        </w:rPr>
        <w:t xml:space="preserve"> It is </w:t>
      </w:r>
      <w:r w:rsidRPr="000A7368">
        <w:rPr>
          <w:rStyle w:val="StyleUnderline"/>
          <w:highlight w:val="cyan"/>
        </w:rPr>
        <w:t>through</w:t>
      </w:r>
      <w:r w:rsidRPr="000A7368">
        <w:rPr>
          <w:rStyle w:val="StyleUnderline"/>
        </w:rPr>
        <w:t xml:space="preserve"> this dissonant </w:t>
      </w:r>
      <w:r w:rsidRPr="000A7368">
        <w:rPr>
          <w:rStyle w:val="StyleUnderline"/>
          <w:highlight w:val="cyan"/>
        </w:rPr>
        <w:t>reading of archival</w:t>
      </w:r>
      <w:r w:rsidRPr="000A7368">
        <w:rPr>
          <w:rStyle w:val="StyleUnderline"/>
        </w:rPr>
        <w:t xml:space="preserve"> and </w:t>
      </w:r>
      <w:r w:rsidRPr="000A7368">
        <w:rPr>
          <w:rStyle w:val="StyleUnderline"/>
          <w:highlight w:val="cyan"/>
        </w:rPr>
        <w:t>historical</w:t>
      </w:r>
      <w:r w:rsidRPr="000A7368">
        <w:rPr>
          <w:rStyle w:val="StyleUnderline"/>
        </w:rPr>
        <w:t xml:space="preserve"> </w:t>
      </w:r>
      <w:r w:rsidRPr="000A7368">
        <w:rPr>
          <w:rStyle w:val="StyleUnderline"/>
          <w:highlight w:val="cyan"/>
        </w:rPr>
        <w:t>performances</w:t>
      </w:r>
      <w:r w:rsidRPr="000A7368">
        <w:rPr>
          <w:rStyle w:val="StyleUnderline"/>
        </w:rPr>
        <w:t xml:space="preserve"> that </w:t>
      </w:r>
      <w:r w:rsidRPr="000A7368">
        <w:rPr>
          <w:rStyle w:val="StyleUnderline"/>
          <w:highlight w:val="cyan"/>
        </w:rPr>
        <w:t>Brooks</w:t>
      </w:r>
      <w:r w:rsidRPr="000A7368">
        <w:rPr>
          <w:rStyle w:val="StyleUnderline"/>
        </w:rPr>
        <w:t xml:space="preserve"> </w:t>
      </w:r>
      <w:r w:rsidRPr="000A7368">
        <w:rPr>
          <w:rStyle w:val="StyleUnderline"/>
          <w:highlight w:val="cyan"/>
        </w:rPr>
        <w:t>aims</w:t>
      </w:r>
      <w:r w:rsidRPr="000A7368">
        <w:rPr>
          <w:rStyle w:val="StyleUnderline"/>
        </w:rPr>
        <w:t xml:space="preserve"> “</w:t>
      </w:r>
      <w:r w:rsidRPr="000A7368">
        <w:rPr>
          <w:rStyle w:val="StyleUnderline"/>
          <w:highlight w:val="cyan"/>
        </w:rPr>
        <w:t>to make the work of</w:t>
      </w:r>
      <w:r w:rsidRPr="000A7368">
        <w:rPr>
          <w:rStyle w:val="StyleUnderline"/>
        </w:rPr>
        <w:t xml:space="preserve"> various </w:t>
      </w:r>
      <w:r w:rsidRPr="000A7368">
        <w:rPr>
          <w:rStyle w:val="StyleUnderline"/>
          <w:highlight w:val="cyan"/>
        </w:rPr>
        <w:t>marginalized</w:t>
      </w:r>
      <w:r w:rsidRPr="000A7368">
        <w:rPr>
          <w:rStyle w:val="StyleUnderline"/>
        </w:rPr>
        <w:t xml:space="preserve"> cultural </w:t>
      </w:r>
      <w:r w:rsidRPr="000A7368">
        <w:rPr>
          <w:rStyle w:val="StyleUnderline"/>
          <w:highlight w:val="cyan"/>
        </w:rPr>
        <w:t>performers</w:t>
      </w:r>
      <w:r w:rsidRPr="000A7368">
        <w:rPr>
          <w:rStyle w:val="StyleUnderline"/>
        </w:rPr>
        <w:t xml:space="preserve"> more </w:t>
      </w:r>
      <w:r w:rsidRPr="000A7368">
        <w:rPr>
          <w:rStyle w:val="StyleUnderline"/>
          <w:highlight w:val="cyan"/>
        </w:rPr>
        <w:t>audible</w:t>
      </w:r>
      <w:r w:rsidRPr="000A7368">
        <w:rPr>
          <w:rStyle w:val="StyleUnderline"/>
        </w:rPr>
        <w:t xml:space="preserve"> and…‘legible’” (9). Brooks’s study reenvisions these </w:t>
      </w:r>
      <w:r w:rsidRPr="000A7368">
        <w:rPr>
          <w:rStyle w:val="StyleUnderline"/>
          <w:highlight w:val="cyan"/>
        </w:rPr>
        <w:t>performers’ acts as dissent from hierarchical</w:t>
      </w:r>
      <w:r w:rsidRPr="000A7368">
        <w:rPr>
          <w:rStyle w:val="StyleUnderline"/>
        </w:rPr>
        <w:t xml:space="preserve">, </w:t>
      </w:r>
      <w:r w:rsidRPr="000A7368">
        <w:rPr>
          <w:rStyle w:val="StyleUnderline"/>
          <w:highlight w:val="cyan"/>
        </w:rPr>
        <w:t>homogenizing</w:t>
      </w:r>
      <w:r w:rsidRPr="000A7368">
        <w:rPr>
          <w:rStyle w:val="StyleUnderline"/>
        </w:rPr>
        <w:t>, white supremacist cultural norms. Through this lens, Brooks contends that their performances exceed the limits of anti-Black history and ideology and, thus, rewrite perpetuated narratives of racial stereotypes.</w:t>
      </w:r>
    </w:p>
    <w:p w14:paraId="0AA79864" w14:textId="77777777" w:rsidR="00B4170C" w:rsidRPr="000A7368" w:rsidRDefault="00B4170C" w:rsidP="00B4170C">
      <w:pPr>
        <w:rPr>
          <w:sz w:val="16"/>
        </w:rPr>
      </w:pPr>
      <w:r w:rsidRPr="000A7368">
        <w:rPr>
          <w:sz w:val="16"/>
        </w:rPr>
        <w:t xml:space="preserve">GerShun Avilez’s 2016 monograph Radical Aesthetics and Modern Black Nationalism is also vital to my study's theorization of Black LGBTQ insurgent archiving within the spaces and narratives of the United States nation. </w:t>
      </w:r>
      <w:r w:rsidRPr="000A7368">
        <w:rPr>
          <w:rStyle w:val="StyleUnderline"/>
        </w:rPr>
        <w:t>Avilez builds upon Muñoz’s and Roderick Ferguson’s Queer of Color scholarship, and arguably Brooks’s theory of dissident Black performance, to explore the ability of Black queer subjects to “critique and identify with dominant ideologies” (Avilez 14, 167, emphasis in original).</w:t>
      </w:r>
      <w:r w:rsidRPr="000A7368">
        <w:rPr>
          <w:sz w:val="16"/>
        </w:rPr>
        <w:t xml:space="preserve"> </w:t>
      </w:r>
      <w:r w:rsidRPr="000A7368">
        <w:rPr>
          <w:rStyle w:val="StyleUnderline"/>
        </w:rPr>
        <w:t xml:space="preserve">Through a Queer Color of Critique analysis of Black nationalist rhetoric, </w:t>
      </w:r>
      <w:r w:rsidRPr="000A7368">
        <w:rPr>
          <w:rStyle w:val="StyleUnderline"/>
          <w:highlight w:val="cyan"/>
        </w:rPr>
        <w:t>Avilez investigates</w:t>
      </w:r>
      <w:r w:rsidRPr="000A7368">
        <w:rPr>
          <w:rStyle w:val="StyleUnderline"/>
        </w:rPr>
        <w:t xml:space="preserve"> the potential of </w:t>
      </w:r>
      <w:r w:rsidRPr="000A7368">
        <w:rPr>
          <w:rStyle w:val="StyleUnderline"/>
          <w:highlight w:val="cyan"/>
        </w:rPr>
        <w:t>Black subjects to “uproot”</w:t>
      </w:r>
      <w:r w:rsidRPr="000A7368">
        <w:rPr>
          <w:rStyle w:val="StyleUnderline"/>
        </w:rPr>
        <w:t xml:space="preserve"> the “restrictive </w:t>
      </w:r>
      <w:r w:rsidRPr="000A7368">
        <w:rPr>
          <w:rStyle w:val="StyleUnderline"/>
          <w:highlight w:val="cyan"/>
        </w:rPr>
        <w:t>conventions” of gender</w:t>
      </w:r>
      <w:r w:rsidRPr="000A7368">
        <w:rPr>
          <w:rStyle w:val="StyleUnderline"/>
        </w:rPr>
        <w:t xml:space="preserve"> and sexuality that are often </w:t>
      </w:r>
      <w:r w:rsidRPr="000A7368">
        <w:rPr>
          <w:rStyle w:val="StyleUnderline"/>
          <w:highlight w:val="cyan"/>
        </w:rPr>
        <w:t>inscribed by nationalist ideology</w:t>
      </w:r>
      <w:r w:rsidRPr="000A7368">
        <w:rPr>
          <w:rStyle w:val="StyleUnderline"/>
        </w:rPr>
        <w:t xml:space="preserve"> (</w:t>
      </w:r>
      <w:r w:rsidRPr="000A7368">
        <w:rPr>
          <w:sz w:val="16"/>
        </w:rPr>
        <w:t xml:space="preserve">15). The practice of employing Black nationalist rhetorics </w:t>
      </w:r>
      <w:r w:rsidRPr="000A7368">
        <w:rPr>
          <w:sz w:val="16"/>
        </w:rPr>
        <w:lastRenderedPageBreak/>
        <w:t>presents the potential for what Avilez calls “disruptive inhabiting,” which is “the purposeful adoption of political ideology…paired with the active attempt to unhinge the components of the ideology that threaten to constrain expression of identity” (12, emphasis in original). Muñoz’s theory of disidentification, read in conjunction with Avilez’s Queer of Color Critique of Black nationalist rhetorics, represents the potential for a marginalized subject to enter a space of rhetorical and spatial oppression and rework its oppressive ideologies from within.</w:t>
      </w:r>
    </w:p>
    <w:p w14:paraId="10F43C28" w14:textId="02E9C93E" w:rsidR="00B4170C" w:rsidRPr="00B4170C" w:rsidRDefault="00B4170C" w:rsidP="00B4170C">
      <w:pPr>
        <w:rPr>
          <w:u w:val="single"/>
        </w:rPr>
      </w:pPr>
      <w:r w:rsidRPr="000A7368">
        <w:rPr>
          <w:rStyle w:val="StyleUnderline"/>
          <w:highlight w:val="cyan"/>
        </w:rPr>
        <w:t>Together</w:t>
      </w:r>
      <w:r w:rsidRPr="000A7368">
        <w:rPr>
          <w:rStyle w:val="StyleUnderline"/>
        </w:rPr>
        <w:t xml:space="preserve">, Dixon’s, Brooks’s, Muñoz’s, and Avilez’s </w:t>
      </w:r>
      <w:r w:rsidRPr="000A7368">
        <w:rPr>
          <w:rStyle w:val="StyleUnderline"/>
          <w:highlight w:val="cyan"/>
        </w:rPr>
        <w:t>theorizations</w:t>
      </w:r>
      <w:r w:rsidRPr="000A7368">
        <w:rPr>
          <w:rStyle w:val="StyleUnderline"/>
        </w:rPr>
        <w:t xml:space="preserve"> of identity-based </w:t>
      </w:r>
      <w:r w:rsidRPr="000A7368">
        <w:rPr>
          <w:rStyle w:val="StyleUnderline"/>
          <w:highlight w:val="cyan"/>
        </w:rPr>
        <w:t>and</w:t>
      </w:r>
      <w:r w:rsidRPr="000A7368">
        <w:rPr>
          <w:rStyle w:val="StyleUnderline"/>
        </w:rPr>
        <w:t xml:space="preserve"> embodied </w:t>
      </w:r>
      <w:r w:rsidRPr="000A7368">
        <w:rPr>
          <w:rStyle w:val="StyleUnderline"/>
          <w:highlight w:val="cyan"/>
        </w:rPr>
        <w:t>performance</w:t>
      </w:r>
      <w:r w:rsidRPr="000A7368">
        <w:rPr>
          <w:rStyle w:val="StyleUnderline"/>
        </w:rPr>
        <w:t xml:space="preserve"> </w:t>
      </w:r>
      <w:r w:rsidRPr="000A7368">
        <w:rPr>
          <w:rStyle w:val="StyleUnderline"/>
          <w:highlight w:val="cyan"/>
        </w:rPr>
        <w:t>suggest</w:t>
      </w:r>
      <w:r w:rsidRPr="000A7368">
        <w:rPr>
          <w:rStyle w:val="StyleUnderline"/>
        </w:rPr>
        <w:t xml:space="preserve"> the ways that </w:t>
      </w:r>
      <w:r w:rsidRPr="000A7368">
        <w:rPr>
          <w:rStyle w:val="StyleUnderline"/>
          <w:highlight w:val="cyan"/>
        </w:rPr>
        <w:t>marginalized</w:t>
      </w:r>
      <w:r w:rsidRPr="000A7368">
        <w:rPr>
          <w:rStyle w:val="StyleUnderline"/>
        </w:rPr>
        <w:t xml:space="preserve"> </w:t>
      </w:r>
      <w:r w:rsidRPr="000A7368">
        <w:rPr>
          <w:rStyle w:val="StyleUnderline"/>
          <w:highlight w:val="cyan"/>
        </w:rPr>
        <w:t>subjects</w:t>
      </w:r>
      <w:r w:rsidRPr="000A7368">
        <w:rPr>
          <w:rStyle w:val="StyleUnderline"/>
        </w:rPr>
        <w:t xml:space="preserve"> can </w:t>
      </w:r>
      <w:r w:rsidRPr="000A7368">
        <w:rPr>
          <w:rStyle w:val="StyleUnderline"/>
          <w:highlight w:val="cyan"/>
        </w:rPr>
        <w:t>refute</w:t>
      </w:r>
      <w:r w:rsidRPr="000A7368">
        <w:rPr>
          <w:rStyle w:val="StyleUnderline"/>
        </w:rPr>
        <w:t xml:space="preserve"> the </w:t>
      </w:r>
      <w:r w:rsidRPr="000A7368">
        <w:rPr>
          <w:rStyle w:val="StyleUnderline"/>
          <w:highlight w:val="cyan"/>
        </w:rPr>
        <w:t>oppressive ideologies</w:t>
      </w:r>
      <w:r w:rsidRPr="000A7368">
        <w:rPr>
          <w:rStyle w:val="StyleUnderline"/>
        </w:rPr>
        <w:t xml:space="preserve"> that constrain them. Dixon sees Black performance as key to transforming geographies into spaces of self-definition.</w:t>
      </w:r>
      <w:r w:rsidRPr="000A7368">
        <w:rPr>
          <w:sz w:val="16"/>
        </w:rPr>
        <w:t xml:space="preserve"> </w:t>
      </w:r>
      <w:r w:rsidRPr="000A7368">
        <w:rPr>
          <w:rStyle w:val="StyleUnderline"/>
        </w:rPr>
        <w:t>Brooks argues that rereading these performances as “gifts…to build a bridge out of abjection” (13) while Muñoz proposes disidentification as “help[ing] us imagine an expansive queer life-world” (34). These scholars’ respective methods of identity negotiation and re-creation further suggest the potential for opening portals to new places beyond those mired in anti-Blackness, misogynoir, and anti-LGBTQ sentiment.</w:t>
      </w:r>
    </w:p>
    <w:p w14:paraId="04B4922B" w14:textId="77777777" w:rsidR="00B4170C" w:rsidRDefault="00B4170C" w:rsidP="00B4170C">
      <w:pPr>
        <w:pStyle w:val="Heading2"/>
      </w:pPr>
      <w:r>
        <w:lastRenderedPageBreak/>
        <w:t>Case</w:t>
      </w:r>
    </w:p>
    <w:p w14:paraId="1E58219D" w14:textId="77777777" w:rsidR="00B4170C" w:rsidRDefault="00B4170C" w:rsidP="00B4170C">
      <w:pPr>
        <w:pStyle w:val="Heading3"/>
      </w:pPr>
      <w:r>
        <w:lastRenderedPageBreak/>
        <w:t>Solvency</w:t>
      </w:r>
    </w:p>
    <w:p w14:paraId="7EA44A96" w14:textId="3CA56266" w:rsidR="00B4170C" w:rsidRDefault="00B4170C" w:rsidP="00B4170C">
      <w:pPr>
        <w:pStyle w:val="Heading4"/>
      </w:pPr>
      <w:r>
        <w:t>ICCAs have a history of FPIC violation, that destroys indigenous sovereignty.</w:t>
      </w:r>
    </w:p>
    <w:p w14:paraId="7FCE62AF" w14:textId="77777777" w:rsidR="00B4170C" w:rsidRPr="00D14CC6" w:rsidRDefault="00B4170C" w:rsidP="00B4170C">
      <w:pPr>
        <w:rPr>
          <w:rStyle w:val="StyleUnderline"/>
        </w:rPr>
      </w:pPr>
      <w:r w:rsidRPr="00D14CC6">
        <w:rPr>
          <w:sz w:val="16"/>
        </w:rPr>
        <w:t xml:space="preserve">Neema Pathak, </w:t>
      </w:r>
      <w:r w:rsidRPr="00D14CC6">
        <w:rPr>
          <w:rStyle w:val="Style13ptBold"/>
        </w:rPr>
        <w:t>Broome 23</w:t>
      </w:r>
      <w:r w:rsidRPr="00D14CC6">
        <w:rPr>
          <w:sz w:val="16"/>
        </w:rPr>
        <w:t xml:space="preserve">, Neema Pathak Broome, was born in a small Himalayan village community in India and currently lives in and manages her family-owned urban farm forest in Pune in India. She has studied environmental science and holds a post graduate diploma in wildlife management, November 2023, “ICCA Consortium: Indigenous Peoples' Territories of Life”, Great Transition Initiative, </w:t>
      </w:r>
      <w:hyperlink r:id="rId93" w:anchor=":~:text=Nationally%2C%20ICCAs%20in%20many%20regions,the%20larger%20global%20transformative%20change" w:history="1">
        <w:r w:rsidRPr="0013534F">
          <w:rPr>
            <w:rStyle w:val="Hyperlink"/>
          </w:rPr>
          <w:t>https://greattransition.org/gti-forum/movement-experiments-pathak-broome#:~:text=Nationally%2C%20ICCAs%20in%20many%20regions,the%20larger%20global%20transformative%20change</w:t>
        </w:r>
      </w:hyperlink>
      <w:r w:rsidRPr="00D14CC6">
        <w:rPr>
          <w:sz w:val="16"/>
        </w:rPr>
        <w:t>, //Irene.</w:t>
      </w:r>
      <w:r w:rsidRPr="00D14CC6">
        <w:rPr>
          <w:b/>
          <w:bCs/>
          <w:color w:val="000000" w:themeColor="text1"/>
        </w:rPr>
        <w:br/>
      </w:r>
      <w:r w:rsidRPr="00D14CC6">
        <w:rPr>
          <w:color w:val="000000" w:themeColor="text1"/>
        </w:rPr>
        <w:br/>
      </w:r>
      <w:r w:rsidRPr="00D14CC6">
        <w:rPr>
          <w:color w:val="000000" w:themeColor="text1"/>
          <w:sz w:val="16"/>
        </w:rPr>
        <w:t xml:space="preserve">As is expected, an association like the Consortium would constantly face internal and external challenges. </w:t>
      </w:r>
      <w:r w:rsidRPr="00D14CC6">
        <w:rPr>
          <w:rStyle w:val="StyleUnderline"/>
        </w:rPr>
        <w:t xml:space="preserve">The internal </w:t>
      </w:r>
      <w:r w:rsidRPr="00D14CC6">
        <w:rPr>
          <w:rStyle w:val="StyleUnderline"/>
          <w:highlight w:val="cyan"/>
        </w:rPr>
        <w:t>challenges</w:t>
      </w:r>
      <w:r w:rsidRPr="00D14CC6">
        <w:rPr>
          <w:rStyle w:val="StyleUnderline"/>
        </w:rPr>
        <w:t xml:space="preserve"> relate </w:t>
      </w:r>
      <w:r w:rsidRPr="00D14CC6">
        <w:rPr>
          <w:rStyle w:val="StyleUnderline"/>
          <w:highlight w:val="cyan"/>
        </w:rPr>
        <w:t>to</w:t>
      </w:r>
      <w:r w:rsidRPr="00D14CC6">
        <w:rPr>
          <w:rStyle w:val="StyleUnderline"/>
        </w:rPr>
        <w:t xml:space="preserve"> being able to </w:t>
      </w:r>
      <w:r w:rsidRPr="00D14CC6">
        <w:rPr>
          <w:rStyle w:val="StyleUnderline"/>
          <w:highlight w:val="cyan"/>
        </w:rPr>
        <w:t>maintain</w:t>
      </w:r>
      <w:r w:rsidRPr="00D14CC6">
        <w:rPr>
          <w:rStyle w:val="StyleUnderline"/>
        </w:rPr>
        <w:t xml:space="preserve"> internal </w:t>
      </w:r>
      <w:r w:rsidRPr="00D14CC6">
        <w:rPr>
          <w:rStyle w:val="StyleUnderline"/>
          <w:highlight w:val="cyan"/>
        </w:rPr>
        <w:t>equity</w:t>
      </w:r>
      <w:r w:rsidRPr="00D14CC6">
        <w:rPr>
          <w:rStyle w:val="StyleUnderline"/>
        </w:rPr>
        <w:t>, accountability, transparency, and power balances.</w:t>
      </w:r>
      <w:r w:rsidRPr="00D14CC6">
        <w:rPr>
          <w:color w:val="000000" w:themeColor="text1"/>
          <w:sz w:val="16"/>
        </w:rPr>
        <w:t xml:space="preserve"> The Consortium has already grown multiple times in its financial outlay and secretariat strength over the one decade of its formal existence. </w:t>
      </w:r>
      <w:r w:rsidRPr="00D14CC6">
        <w:rPr>
          <w:rStyle w:val="StyleUnderline"/>
        </w:rPr>
        <w:t xml:space="preserve">Achieving a certain scale of operation, efficacy, and support and yet being able to avoid concentration of power requires constant vigilance, reflection, and action at all levels. Most decision-making functions within the Consortium rely heavily on voluntary contribution of time and effort from those who are often also engaged in deep grassroots action. It can be </w:t>
      </w:r>
      <w:r w:rsidRPr="00D14CC6">
        <w:rPr>
          <w:rStyle w:val="StyleUnderline"/>
          <w:highlight w:val="cyan"/>
        </w:rPr>
        <w:t>challenging</w:t>
      </w:r>
      <w:r w:rsidRPr="00D14CC6">
        <w:rPr>
          <w:rStyle w:val="StyleUnderline"/>
        </w:rPr>
        <w:t xml:space="preserve"> sometimes </w:t>
      </w:r>
      <w:r w:rsidRPr="00D14CC6">
        <w:rPr>
          <w:rStyle w:val="StyleUnderline"/>
          <w:highlight w:val="cyan"/>
        </w:rPr>
        <w:t>to seek accountability</w:t>
      </w:r>
      <w:r w:rsidRPr="00D14CC6">
        <w:rPr>
          <w:rStyle w:val="StyleUnderline"/>
        </w:rPr>
        <w:t xml:space="preserve"> for voluntary commitments, particularly when actors are already overcommitted.</w:t>
      </w:r>
    </w:p>
    <w:p w14:paraId="2BACE011" w14:textId="77777777" w:rsidR="00B4170C" w:rsidRPr="00D14CC6" w:rsidRDefault="00B4170C" w:rsidP="00B4170C">
      <w:pPr>
        <w:rPr>
          <w:color w:val="000000" w:themeColor="text1"/>
          <w:sz w:val="16"/>
        </w:rPr>
      </w:pPr>
      <w:r w:rsidRPr="00D14CC6">
        <w:rPr>
          <w:color w:val="000000" w:themeColor="text1"/>
          <w:sz w:val="16"/>
        </w:rPr>
        <w:t xml:space="preserve">While the Consortium has contributed towards significant gains at the international policy level, translating these policies at the national level has been a huge challenge. </w:t>
      </w:r>
      <w:r w:rsidRPr="00D14CC6">
        <w:rPr>
          <w:rStyle w:val="StyleUnderline"/>
        </w:rPr>
        <w:t xml:space="preserve">Nationally, </w:t>
      </w:r>
      <w:r w:rsidRPr="00D14CC6">
        <w:rPr>
          <w:rStyle w:val="StyleUnderline"/>
          <w:highlight w:val="cyan"/>
        </w:rPr>
        <w:t>ICCAs</w:t>
      </w:r>
      <w:r w:rsidRPr="00D14CC6">
        <w:rPr>
          <w:rStyle w:val="StyleUnderline"/>
        </w:rPr>
        <w:t xml:space="preserve"> in many regions are </w:t>
      </w:r>
      <w:r w:rsidRPr="00D14CC6">
        <w:rPr>
          <w:rStyle w:val="StyleUnderline"/>
          <w:highlight w:val="cyan"/>
        </w:rPr>
        <w:t>facing pushback</w:t>
      </w:r>
      <w:r w:rsidRPr="00D14CC6">
        <w:rPr>
          <w:rStyle w:val="StyleUnderline"/>
        </w:rPr>
        <w:t xml:space="preserve"> from the state agencies, as </w:t>
      </w:r>
      <w:r w:rsidRPr="00D14CC6">
        <w:rPr>
          <w:rStyle w:val="StyleUnderline"/>
          <w:highlight w:val="cyan"/>
        </w:rPr>
        <w:t>large conservation organizations</w:t>
      </w:r>
      <w:r w:rsidRPr="00D14CC6">
        <w:rPr>
          <w:rStyle w:val="StyleUnderline"/>
        </w:rPr>
        <w:t xml:space="preserve"> and state wildlife departments continue to </w:t>
      </w:r>
      <w:r w:rsidRPr="00D14CC6">
        <w:rPr>
          <w:rStyle w:val="StyleUnderline"/>
          <w:highlight w:val="cyan"/>
        </w:rPr>
        <w:t>push for fortress conservation, leading to</w:t>
      </w:r>
      <w:r w:rsidRPr="00D14CC6">
        <w:rPr>
          <w:rStyle w:val="StyleUnderline"/>
        </w:rPr>
        <w:t xml:space="preserve"> large-scale human rights violations and internal displacement. </w:t>
      </w:r>
      <w:r w:rsidRPr="00D14CC6">
        <w:rPr>
          <w:rStyle w:val="StyleUnderline"/>
          <w:highlight w:val="cyan"/>
        </w:rPr>
        <w:t>Provisions of F</w:t>
      </w:r>
      <w:r w:rsidRPr="00D14CC6">
        <w:rPr>
          <w:rStyle w:val="StyleUnderline"/>
        </w:rPr>
        <w:t xml:space="preserve">ree, </w:t>
      </w:r>
      <w:r w:rsidRPr="00D14CC6">
        <w:rPr>
          <w:rStyle w:val="StyleUnderline"/>
          <w:highlight w:val="cyan"/>
        </w:rPr>
        <w:t>P</w:t>
      </w:r>
      <w:r w:rsidRPr="00D14CC6">
        <w:rPr>
          <w:rStyle w:val="StyleUnderline"/>
        </w:rPr>
        <w:t xml:space="preserve">rior, and </w:t>
      </w:r>
      <w:r w:rsidRPr="00D14CC6">
        <w:rPr>
          <w:rStyle w:val="StyleUnderline"/>
          <w:highlight w:val="cyan"/>
        </w:rPr>
        <w:t>I</w:t>
      </w:r>
      <w:r w:rsidRPr="00D14CC6">
        <w:rPr>
          <w:rStyle w:val="StyleUnderline"/>
        </w:rPr>
        <w:t xml:space="preserve">nformed </w:t>
      </w:r>
      <w:r w:rsidRPr="00D14CC6">
        <w:rPr>
          <w:rStyle w:val="StyleUnderline"/>
          <w:highlight w:val="cyan"/>
        </w:rPr>
        <w:t>C</w:t>
      </w:r>
      <w:r w:rsidRPr="00D14CC6">
        <w:rPr>
          <w:rStyle w:val="StyleUnderline"/>
        </w:rPr>
        <w:t xml:space="preserve">onsent are largely </w:t>
      </w:r>
      <w:r w:rsidRPr="00D14CC6">
        <w:rPr>
          <w:rStyle w:val="StyleUnderline"/>
          <w:highlight w:val="cyan"/>
        </w:rPr>
        <w:t>violated</w:t>
      </w:r>
      <w:r w:rsidRPr="00D14CC6">
        <w:rPr>
          <w:rStyle w:val="StyleUnderline"/>
        </w:rPr>
        <w:t>.</w:t>
      </w:r>
      <w:r w:rsidRPr="00D14CC6">
        <w:rPr>
          <w:color w:val="000000" w:themeColor="text1"/>
          <w:sz w:val="16"/>
        </w:rPr>
        <w:t xml:space="preserve"> The trend to co-opt language of inclusion, equity, and justice in the policy statements, while actual implementation regressing on these values in the worst case or maintaining business as usual in the best, is increasing.</w:t>
      </w:r>
    </w:p>
    <w:p w14:paraId="221CB5D5" w14:textId="77777777" w:rsidR="00B4170C" w:rsidRPr="00D14CC6" w:rsidRDefault="00B4170C" w:rsidP="00B4170C">
      <w:pPr>
        <w:rPr>
          <w:rStyle w:val="StyleUnderline"/>
        </w:rPr>
      </w:pPr>
      <w:r w:rsidRPr="00D14CC6">
        <w:rPr>
          <w:rStyle w:val="StyleUnderline"/>
        </w:rPr>
        <w:t xml:space="preserve">Finally, the enormity of what IPs and LCs are up against cannot be over emphasized: deep </w:t>
      </w:r>
      <w:r w:rsidRPr="00D14CC6">
        <w:rPr>
          <w:rStyle w:val="StyleUnderline"/>
          <w:highlight w:val="cyan"/>
        </w:rPr>
        <w:t>entrenched</w:t>
      </w:r>
      <w:r w:rsidRPr="00D14CC6">
        <w:rPr>
          <w:rStyle w:val="StyleUnderline"/>
        </w:rPr>
        <w:t xml:space="preserve"> structural </w:t>
      </w:r>
      <w:r w:rsidRPr="00D14CC6">
        <w:rPr>
          <w:rStyle w:val="StyleUnderline"/>
          <w:highlight w:val="cyan"/>
        </w:rPr>
        <w:t>power imbalances and injustices</w:t>
      </w:r>
      <w:r w:rsidRPr="00D14CC6">
        <w:rPr>
          <w:rStyle w:val="StyleUnderline"/>
        </w:rPr>
        <w:t xml:space="preserve">, an ever-increasing </w:t>
      </w:r>
      <w:r w:rsidRPr="00D14CC6">
        <w:rPr>
          <w:rStyle w:val="StyleUnderline"/>
          <w:highlight w:val="cyan"/>
        </w:rPr>
        <w:t>growth-based extractive</w:t>
      </w:r>
      <w:r w:rsidRPr="00D14CC6">
        <w:rPr>
          <w:rStyle w:val="StyleUnderline"/>
        </w:rPr>
        <w:t xml:space="preserve"> </w:t>
      </w:r>
      <w:r w:rsidRPr="00D14CC6">
        <w:rPr>
          <w:rStyle w:val="StyleUnderline"/>
          <w:highlight w:val="cyan"/>
        </w:rPr>
        <w:t>model,</w:t>
      </w:r>
      <w:r w:rsidRPr="00D14CC6">
        <w:rPr>
          <w:rStyle w:val="StyleUnderline"/>
        </w:rPr>
        <w:t xml:space="preserve"> and rapid internal socio-cultural changes; </w:t>
      </w:r>
      <w:r w:rsidRPr="00D14CC6">
        <w:rPr>
          <w:rStyle w:val="StyleUnderline"/>
          <w:highlight w:val="cyan"/>
        </w:rPr>
        <w:t>centralized powers in the hands of authoritarian</w:t>
      </w:r>
      <w:r w:rsidRPr="00D14CC6">
        <w:rPr>
          <w:rStyle w:val="StyleUnderline"/>
        </w:rPr>
        <w:t xml:space="preserve"> and corporate-led or controlled </w:t>
      </w:r>
      <w:r w:rsidRPr="00D14CC6">
        <w:rPr>
          <w:rStyle w:val="StyleUnderline"/>
          <w:highlight w:val="cyan"/>
        </w:rPr>
        <w:t>governments</w:t>
      </w:r>
      <w:r w:rsidRPr="00D14CC6">
        <w:rPr>
          <w:rStyle w:val="StyleUnderline"/>
        </w:rPr>
        <w:t>, gagging media, criminalizing dissent, and squeezing spaces for resistance and financial support; geopolitical conflicts and wars between nation-states.</w:t>
      </w:r>
    </w:p>
    <w:p w14:paraId="4278750F" w14:textId="77777777" w:rsidR="00B4170C" w:rsidRPr="00432BE0" w:rsidRDefault="00B4170C" w:rsidP="00B4170C">
      <w:pPr>
        <w:rPr>
          <w:color w:val="000000" w:themeColor="text1"/>
          <w:sz w:val="16"/>
        </w:rPr>
      </w:pPr>
      <w:r w:rsidRPr="00D14CC6">
        <w:rPr>
          <w:color w:val="000000" w:themeColor="text1"/>
          <w:sz w:val="16"/>
        </w:rPr>
        <w:t>In conclusion, there are internal reflections and discussions within the Consortium on how to extend support to IPs and LCs in these situations and precipitate the larger global transformative change. In 2023, the Consortium has finalized and adopted a </w:t>
      </w:r>
      <w:hyperlink r:id="rId94" w:tgtFrame="_blank" w:history="1">
        <w:r w:rsidRPr="00D14CC6">
          <w:rPr>
            <w:rStyle w:val="Hyperlink"/>
            <w:color w:val="000000" w:themeColor="text1"/>
            <w:sz w:val="16"/>
          </w:rPr>
          <w:t>manifesto</w:t>
        </w:r>
      </w:hyperlink>
      <w:r w:rsidRPr="00D14CC6">
        <w:rPr>
          <w:color w:val="000000" w:themeColor="text1"/>
          <w:sz w:val="16"/>
        </w:rPr>
        <w:t> as a working document to keep learning, reflecting, and acting towards a constantly evolving response to the global crisis.</w:t>
      </w:r>
    </w:p>
    <w:p w14:paraId="582DC058" w14:textId="77777777" w:rsidR="00B4170C" w:rsidRDefault="00B4170C" w:rsidP="00B4170C">
      <w:pPr>
        <w:pStyle w:val="Heading3"/>
      </w:pPr>
      <w:r>
        <w:lastRenderedPageBreak/>
        <w:t>Adv-2</w:t>
      </w:r>
    </w:p>
    <w:p w14:paraId="6E38C89B" w14:textId="670DA80C" w:rsidR="00B4170C" w:rsidRPr="00DE3101" w:rsidRDefault="00B4170C" w:rsidP="00B4170C">
      <w:pPr>
        <w:pStyle w:val="Heading4"/>
      </w:pPr>
      <w:r>
        <w:t xml:space="preserve">ICCAs fail to acknowledge indigenous sovereignty. </w:t>
      </w:r>
    </w:p>
    <w:p w14:paraId="1374DDF1" w14:textId="77777777" w:rsidR="00B4170C" w:rsidRPr="00DE3101" w:rsidRDefault="00B4170C" w:rsidP="00B4170C">
      <w:pPr>
        <w:rPr>
          <w:sz w:val="16"/>
        </w:rPr>
      </w:pPr>
      <w:r w:rsidRPr="00DE3101">
        <w:rPr>
          <w:sz w:val="16"/>
        </w:rPr>
        <w:t xml:space="preserve">Dermot </w:t>
      </w:r>
      <w:r w:rsidRPr="00DE3101">
        <w:rPr>
          <w:rStyle w:val="Style13ptBold"/>
        </w:rPr>
        <w:t>Smyth 15</w:t>
      </w:r>
      <w:r w:rsidRPr="00DE3101">
        <w:rPr>
          <w:sz w:val="16"/>
        </w:rPr>
        <w:t xml:space="preserve">, Principal Consultant &amp; Adjunct Research Fellow at Smyth and Bahrdt Consultants &amp; Charles Darwin University, 2015, “INDIGENOUS PROTECTED AREAS AND ICCAS: COMMONALITIES, CONTRASTS AND CONFUSIONS”, </w:t>
      </w:r>
      <w:hyperlink r:id="rId95" w:history="1">
        <w:r w:rsidRPr="0013534F">
          <w:rPr>
            <w:rStyle w:val="Hyperlink"/>
          </w:rPr>
          <w:t>https://www.researchgate.net/publication/283821573_Indigenous_Protected_Areas_and_ICCAs_-_Commonalities_Contrasts_and_Confusions</w:t>
        </w:r>
      </w:hyperlink>
      <w:r w:rsidRPr="00DE3101">
        <w:rPr>
          <w:sz w:val="16"/>
        </w:rPr>
        <w:t>, //Irene.</w:t>
      </w:r>
    </w:p>
    <w:p w14:paraId="0573354E" w14:textId="77777777" w:rsidR="00B4170C" w:rsidRPr="00506C79" w:rsidRDefault="00B4170C" w:rsidP="00B4170C">
      <w:pPr>
        <w:rPr>
          <w:sz w:val="16"/>
        </w:rPr>
      </w:pPr>
      <w:r w:rsidRPr="00BF3F09">
        <w:rPr>
          <w:rStyle w:val="StyleUnderline"/>
        </w:rPr>
        <w:t xml:space="preserve">There are, however, </w:t>
      </w:r>
      <w:r w:rsidRPr="00506C79">
        <w:rPr>
          <w:rStyle w:val="StyleUnderline"/>
          <w:highlight w:val="cyan"/>
        </w:rPr>
        <w:t>challenges</w:t>
      </w:r>
      <w:r w:rsidRPr="00BF3F09">
        <w:rPr>
          <w:rStyle w:val="StyleUnderline"/>
        </w:rPr>
        <w:t xml:space="preserve"> and constraints </w:t>
      </w:r>
      <w:r w:rsidRPr="00506C79">
        <w:rPr>
          <w:rStyle w:val="StyleUnderline"/>
          <w:highlight w:val="cyan"/>
        </w:rPr>
        <w:t>within</w:t>
      </w:r>
      <w:r w:rsidRPr="00BF3F09">
        <w:rPr>
          <w:rStyle w:val="StyleUnderline"/>
        </w:rPr>
        <w:t xml:space="preserve"> the current </w:t>
      </w:r>
      <w:r w:rsidRPr="00506C79">
        <w:rPr>
          <w:rStyle w:val="StyleUnderline"/>
          <w:highlight w:val="cyan"/>
        </w:rPr>
        <w:t>ICCA</w:t>
      </w:r>
      <w:r w:rsidRPr="00BF3F09">
        <w:rPr>
          <w:rStyle w:val="StyleUnderline"/>
        </w:rPr>
        <w:t xml:space="preserve"> concept that could potentially </w:t>
      </w:r>
      <w:r w:rsidRPr="00506C79">
        <w:rPr>
          <w:rStyle w:val="StyleUnderline"/>
          <w:highlight w:val="cyan"/>
        </w:rPr>
        <w:t>limit</w:t>
      </w:r>
      <w:r w:rsidRPr="00BF3F09">
        <w:rPr>
          <w:rStyle w:val="StyleUnderline"/>
        </w:rPr>
        <w:t xml:space="preserve"> further </w:t>
      </w:r>
      <w:r w:rsidRPr="00506C79">
        <w:rPr>
          <w:rStyle w:val="StyleUnderline"/>
          <w:highlight w:val="cyan"/>
        </w:rPr>
        <w:t>progress</w:t>
      </w:r>
      <w:r w:rsidRPr="00BF3F09">
        <w:rPr>
          <w:rStyle w:val="StyleUnderline"/>
        </w:rPr>
        <w:t xml:space="preserve"> in gaining the recognition and support referred to above.</w:t>
      </w:r>
      <w:r w:rsidRPr="00506C79">
        <w:rPr>
          <w:sz w:val="16"/>
        </w:rPr>
        <w:t xml:space="preserve"> These challenges stem from the </w:t>
      </w:r>
      <w:r w:rsidRPr="00506C79">
        <w:rPr>
          <w:rStyle w:val="StyleUnderline"/>
          <w:highlight w:val="cyan"/>
        </w:rPr>
        <w:t>conflation of Indigenous</w:t>
      </w:r>
      <w:r w:rsidRPr="00BF3F09">
        <w:rPr>
          <w:rStyle w:val="StyleUnderline"/>
        </w:rPr>
        <w:t xml:space="preserve"> and local community </w:t>
      </w:r>
      <w:r w:rsidRPr="00506C79">
        <w:rPr>
          <w:rStyle w:val="StyleUnderline"/>
          <w:highlight w:val="cyan"/>
        </w:rPr>
        <w:t>interests into a single</w:t>
      </w:r>
      <w:r w:rsidRPr="00BF3F09">
        <w:rPr>
          <w:rStyle w:val="StyleUnderline"/>
        </w:rPr>
        <w:t xml:space="preserve"> conceptual </w:t>
      </w:r>
      <w:r w:rsidRPr="00506C79">
        <w:rPr>
          <w:rStyle w:val="StyleUnderline"/>
          <w:highlight w:val="cyan"/>
        </w:rPr>
        <w:t>framework, and</w:t>
      </w:r>
      <w:r w:rsidRPr="00BF3F09">
        <w:rPr>
          <w:rStyle w:val="StyleUnderline"/>
        </w:rPr>
        <w:t xml:space="preserve"> the application of the ‘</w:t>
      </w:r>
      <w:r w:rsidRPr="00506C79">
        <w:rPr>
          <w:rStyle w:val="StyleUnderline"/>
          <w:highlight w:val="cyan"/>
        </w:rPr>
        <w:t>conserved’ label</w:t>
      </w:r>
      <w:r w:rsidRPr="00BF3F09">
        <w:rPr>
          <w:rStyle w:val="StyleUnderline"/>
        </w:rPr>
        <w:t xml:space="preserve"> to Indigenous territories and local community areas at a global or regional scale.</w:t>
      </w:r>
      <w:r w:rsidRPr="00506C79">
        <w:rPr>
          <w:sz w:val="16"/>
        </w:rPr>
        <w:t xml:space="preserve"> Another potential constraint arises from the current </w:t>
      </w:r>
      <w:r w:rsidRPr="00506C79">
        <w:rPr>
          <w:rStyle w:val="StyleUnderline"/>
          <w:highlight w:val="cyan"/>
        </w:rPr>
        <w:t>application of</w:t>
      </w:r>
      <w:r w:rsidRPr="00BF3F09">
        <w:rPr>
          <w:rStyle w:val="StyleUnderline"/>
        </w:rPr>
        <w:t xml:space="preserve"> the </w:t>
      </w:r>
      <w:r w:rsidRPr="00506C79">
        <w:rPr>
          <w:rStyle w:val="StyleUnderline"/>
          <w:highlight w:val="cyan"/>
        </w:rPr>
        <w:t>ICCA concept only to portions of</w:t>
      </w:r>
      <w:r w:rsidRPr="00BF3F09">
        <w:rPr>
          <w:rStyle w:val="StyleUnderline"/>
        </w:rPr>
        <w:t xml:space="preserve"> Indigenous peoples’ traditional territories or local </w:t>
      </w:r>
      <w:r w:rsidRPr="00506C79">
        <w:rPr>
          <w:rStyle w:val="StyleUnderline"/>
          <w:highlight w:val="cyan"/>
        </w:rPr>
        <w:t>communities’</w:t>
      </w:r>
      <w:r w:rsidRPr="00BF3F09">
        <w:rPr>
          <w:rStyle w:val="StyleUnderline"/>
        </w:rPr>
        <w:t xml:space="preserve"> areas </w:t>
      </w:r>
      <w:r w:rsidRPr="00506C79">
        <w:rPr>
          <w:rStyle w:val="StyleUnderline"/>
          <w:highlight w:val="cyan"/>
        </w:rPr>
        <w:t>where</w:t>
      </w:r>
      <w:r w:rsidRPr="00BF3F09">
        <w:rPr>
          <w:rStyle w:val="StyleUnderline"/>
        </w:rPr>
        <w:t xml:space="preserve"> the respective peoples or </w:t>
      </w:r>
      <w:r w:rsidRPr="00506C79">
        <w:rPr>
          <w:rStyle w:val="StyleUnderline"/>
          <w:highlight w:val="cyan"/>
        </w:rPr>
        <w:t>communities</w:t>
      </w:r>
      <w:r w:rsidRPr="00BF3F09">
        <w:rPr>
          <w:rStyle w:val="StyleUnderline"/>
        </w:rPr>
        <w:t xml:space="preserve"> have </w:t>
      </w:r>
      <w:r w:rsidRPr="00506C79">
        <w:rPr>
          <w:rStyle w:val="StyleUnderline"/>
          <w:highlight w:val="cyan"/>
        </w:rPr>
        <w:t>retained</w:t>
      </w:r>
      <w:r w:rsidRPr="00BF3F09">
        <w:rPr>
          <w:rStyle w:val="StyleUnderline"/>
        </w:rPr>
        <w:t xml:space="preserve"> major decision-making </w:t>
      </w:r>
      <w:r w:rsidRPr="00506C79">
        <w:rPr>
          <w:rStyle w:val="StyleUnderline"/>
          <w:highlight w:val="cyan"/>
        </w:rPr>
        <w:t>authority</w:t>
      </w:r>
      <w:r w:rsidRPr="00BF3F09">
        <w:rPr>
          <w:rStyle w:val="StyleUnderline"/>
        </w:rPr>
        <w:t>.</w:t>
      </w:r>
      <w:r w:rsidRPr="00506C79">
        <w:rPr>
          <w:sz w:val="16"/>
        </w:rPr>
        <w:t xml:space="preserve"> A further complexity arises from inconsistent terminology within the IUCN protected area governance/management matrix. </w:t>
      </w:r>
      <w:r w:rsidRPr="00BF3F09">
        <w:rPr>
          <w:rStyle w:val="StyleUnderline"/>
        </w:rPr>
        <w:t>There is also the inherent difficulty of applying to one location an acronym that refers to multiple territories and areas. These challenges are explored further below.</w:t>
      </w:r>
    </w:p>
    <w:p w14:paraId="2FD0A124" w14:textId="77777777" w:rsidR="00B4170C" w:rsidRPr="00506C79" w:rsidRDefault="00B4170C" w:rsidP="00B4170C">
      <w:pPr>
        <w:rPr>
          <w:rStyle w:val="StyleUnderline"/>
        </w:rPr>
      </w:pPr>
      <w:r w:rsidRPr="00506C79">
        <w:rPr>
          <w:rStyle w:val="StyleUnderline"/>
          <w:highlight w:val="cyan"/>
        </w:rPr>
        <w:t>Conflation of Indigenous peoples’</w:t>
      </w:r>
      <w:r w:rsidRPr="00BF3F09">
        <w:rPr>
          <w:rStyle w:val="StyleUnderline"/>
        </w:rPr>
        <w:t xml:space="preserve"> and local communities’ </w:t>
      </w:r>
      <w:r w:rsidRPr="00506C79">
        <w:rPr>
          <w:rStyle w:val="StyleUnderline"/>
          <w:highlight w:val="cyan"/>
        </w:rPr>
        <w:t>interests</w:t>
      </w:r>
      <w:r w:rsidRPr="00BF3F09">
        <w:rPr>
          <w:rStyle w:val="StyleUnderline"/>
        </w:rPr>
        <w:t xml:space="preserve"> While ‘ICCA’ is a convenient collective term to describe the many locations around the globe where the intentional or </w:t>
      </w:r>
      <w:r w:rsidRPr="00506C79">
        <w:rPr>
          <w:rStyle w:val="StyleUnderline"/>
        </w:rPr>
        <w:t>unintentional</w:t>
      </w:r>
      <w:r w:rsidRPr="00BF3F09">
        <w:rPr>
          <w:rStyle w:val="StyleUnderline"/>
        </w:rPr>
        <w:t xml:space="preserve"> activities of Indigenous peoples and local communities result in conservation outcomes, </w:t>
      </w:r>
      <w:r w:rsidRPr="00506C79">
        <w:rPr>
          <w:rStyle w:val="StyleUnderline"/>
          <w:highlight w:val="cyan"/>
        </w:rPr>
        <w:t xml:space="preserve">difficulties arise when applying </w:t>
      </w:r>
      <w:r w:rsidRPr="00506C79">
        <w:rPr>
          <w:rStyle w:val="StyleUnderline"/>
        </w:rPr>
        <w:t xml:space="preserve">the </w:t>
      </w:r>
      <w:r w:rsidRPr="00506C79">
        <w:rPr>
          <w:rStyle w:val="StyleUnderline"/>
          <w:highlight w:val="cyan"/>
        </w:rPr>
        <w:t xml:space="preserve">term to </w:t>
      </w:r>
      <w:r w:rsidRPr="00506C79">
        <w:rPr>
          <w:rStyle w:val="StyleUnderline"/>
        </w:rPr>
        <w:t xml:space="preserve">a </w:t>
      </w:r>
      <w:r w:rsidRPr="00506C79">
        <w:rPr>
          <w:rStyle w:val="StyleUnderline"/>
          <w:highlight w:val="cyan"/>
        </w:rPr>
        <w:t>particular place</w:t>
      </w:r>
      <w:r w:rsidRPr="00BF3F09">
        <w:rPr>
          <w:rStyle w:val="StyleUnderline"/>
        </w:rPr>
        <w:t>.</w:t>
      </w:r>
      <w:r w:rsidRPr="00506C79">
        <w:rPr>
          <w:sz w:val="16"/>
        </w:rPr>
        <w:t xml:space="preserve"> While there may be geographical overlaps of interest, </w:t>
      </w:r>
      <w:r w:rsidRPr="00506C79">
        <w:rPr>
          <w:rStyle w:val="StyleUnderline"/>
        </w:rPr>
        <w:t xml:space="preserve">each traditional territory or area will typically be associated with either an Indigenous group or a local community, which therefore can make it </w:t>
      </w:r>
      <w:r w:rsidRPr="00506C79">
        <w:rPr>
          <w:rStyle w:val="StyleUnderline"/>
          <w:highlight w:val="cyan"/>
        </w:rPr>
        <w:t>inappropriate to use</w:t>
      </w:r>
      <w:r w:rsidRPr="00506C79">
        <w:rPr>
          <w:rStyle w:val="StyleUnderline"/>
        </w:rPr>
        <w:t xml:space="preserve"> a </w:t>
      </w:r>
      <w:r w:rsidRPr="00506C79">
        <w:rPr>
          <w:rStyle w:val="StyleUnderline"/>
          <w:highlight w:val="cyan"/>
        </w:rPr>
        <w:t>collective term</w:t>
      </w:r>
      <w:r w:rsidRPr="00506C79">
        <w:rPr>
          <w:rStyle w:val="StyleUnderline"/>
        </w:rPr>
        <w:t xml:space="preserve"> that embraces both Indigenous peoples and local communities.</w:t>
      </w:r>
    </w:p>
    <w:p w14:paraId="71C2B792" w14:textId="77777777" w:rsidR="00B4170C" w:rsidRPr="00506C79" w:rsidRDefault="00B4170C" w:rsidP="00B4170C">
      <w:pPr>
        <w:rPr>
          <w:sz w:val="16"/>
        </w:rPr>
      </w:pPr>
      <w:r w:rsidRPr="00506C79">
        <w:rPr>
          <w:sz w:val="16"/>
        </w:rPr>
        <w:t xml:space="preserve">In Nepal, for example, some </w:t>
      </w:r>
      <w:r w:rsidRPr="00506C79">
        <w:rPr>
          <w:rStyle w:val="StyleUnderline"/>
          <w:highlight w:val="cyan"/>
        </w:rPr>
        <w:t>Indigenous people</w:t>
      </w:r>
      <w:r w:rsidRPr="00506C79">
        <w:rPr>
          <w:rStyle w:val="StyleUnderline"/>
        </w:rPr>
        <w:t xml:space="preserve"> have </w:t>
      </w:r>
      <w:r w:rsidRPr="00506C79">
        <w:rPr>
          <w:rStyle w:val="StyleUnderline"/>
          <w:highlight w:val="cyan"/>
        </w:rPr>
        <w:t>expressed concern</w:t>
      </w:r>
      <w:r w:rsidRPr="00506C79">
        <w:rPr>
          <w:rStyle w:val="StyleUnderline"/>
        </w:rPr>
        <w:t xml:space="preserve"> about the reference to local communities, and some local communities have expressed concern about the reference to Indigenous people, </w:t>
      </w:r>
      <w:r w:rsidRPr="00506C79">
        <w:rPr>
          <w:rStyle w:val="StyleUnderline"/>
          <w:highlight w:val="cyan"/>
        </w:rPr>
        <w:t>when engaging</w:t>
      </w:r>
      <w:r w:rsidRPr="00506C79">
        <w:rPr>
          <w:rStyle w:val="StyleUnderline"/>
        </w:rPr>
        <w:t xml:space="preserve"> in dialogues about the </w:t>
      </w:r>
      <w:r w:rsidRPr="00506C79">
        <w:rPr>
          <w:rStyle w:val="StyleUnderline"/>
          <w:highlight w:val="cyan"/>
        </w:rPr>
        <w:t>ICCA</w:t>
      </w:r>
      <w:r w:rsidRPr="00506C79">
        <w:rPr>
          <w:rStyle w:val="StyleUnderline"/>
        </w:rPr>
        <w:t xml:space="preserve"> concept with representatives of the local ICCA network in that country9.</w:t>
      </w:r>
      <w:r w:rsidRPr="00506C79">
        <w:rPr>
          <w:sz w:val="16"/>
        </w:rPr>
        <w:t xml:space="preserve"> Similar concerns have been raised informally with the author at several international gatherings; it would be valuable to elucidate the extent to which this matter is more widely of concern to Indigenous peoples and/or local communities.</w:t>
      </w:r>
    </w:p>
    <w:p w14:paraId="56093F8B" w14:textId="77777777" w:rsidR="00B4170C" w:rsidRPr="00506C79" w:rsidRDefault="00B4170C" w:rsidP="00B4170C">
      <w:pPr>
        <w:rPr>
          <w:sz w:val="16"/>
        </w:rPr>
      </w:pPr>
      <w:r w:rsidRPr="00506C79">
        <w:rPr>
          <w:sz w:val="16"/>
        </w:rPr>
        <w:t>Although some international frameworks do link Indigenous peoples and local communities, there is strong global recognition of the distinct identity and rights of Indigenous peoples, as expressed, for example, in the UN Declaration on the Rights of Indigenous Peoples. A collective term that has a level of convenience for use in discussions about Indigenous peoples’ territories and local communities’ areas has the potential to place a barrier to engagement among the peoples and communities whom the concept seeks to support.</w:t>
      </w:r>
    </w:p>
    <w:p w14:paraId="3BD799BA" w14:textId="77777777" w:rsidR="00B4170C" w:rsidRPr="00506C79" w:rsidRDefault="00B4170C" w:rsidP="00B4170C">
      <w:pPr>
        <w:rPr>
          <w:sz w:val="16"/>
        </w:rPr>
      </w:pPr>
      <w:r w:rsidRPr="00506C79">
        <w:rPr>
          <w:sz w:val="16"/>
        </w:rPr>
        <w:t>A possible solution to these difficulties is to use more specific terms, such as the IUCN protected area governance sub-types ‘Indigenous peoples’ protected areas’ and ‘Community conserved areas’, which do distinguish the separate identities of Indigenous peoples and local communities, and which can be used to refer to a particular location. These terms, however, only apply to locations that are dedicated and recognized as protected areas. As discussed further below, a wider solution to these terminological challenges is therefore required to accommodate locations that do not meet the IUCN protected area definitions.</w:t>
      </w:r>
    </w:p>
    <w:p w14:paraId="5931536E" w14:textId="77777777" w:rsidR="00B4170C" w:rsidRPr="00506C79" w:rsidRDefault="00B4170C" w:rsidP="00B4170C">
      <w:pPr>
        <w:rPr>
          <w:sz w:val="16"/>
        </w:rPr>
      </w:pPr>
      <w:r w:rsidRPr="00506C79">
        <w:rPr>
          <w:rStyle w:val="StyleUnderline"/>
          <w:highlight w:val="cyan"/>
        </w:rPr>
        <w:t>Assigning labels</w:t>
      </w:r>
      <w:r w:rsidRPr="00506C79">
        <w:rPr>
          <w:rStyle w:val="StyleUnderline"/>
        </w:rPr>
        <w:t xml:space="preserve"> to territories and areas </w:t>
      </w:r>
      <w:r w:rsidRPr="00506C79">
        <w:rPr>
          <w:rStyle w:val="StyleUnderline"/>
          <w:highlight w:val="cyan"/>
        </w:rPr>
        <w:t>without informed consent</w:t>
      </w:r>
      <w:r w:rsidRPr="00506C79">
        <w:rPr>
          <w:rStyle w:val="StyleUnderline"/>
        </w:rPr>
        <w:t xml:space="preserve"> The early literature on CCAs and ICCAs applied these terms to myriad locations around the globe </w:t>
      </w:r>
      <w:r w:rsidRPr="00506C79">
        <w:rPr>
          <w:rStyle w:val="StyleUnderline"/>
          <w:highlight w:val="cyan"/>
        </w:rPr>
        <w:t>without consideration of</w:t>
      </w:r>
      <w:r w:rsidRPr="00506C79">
        <w:rPr>
          <w:rStyle w:val="StyleUnderline"/>
        </w:rPr>
        <w:t xml:space="preserve"> the need to obtain the </w:t>
      </w:r>
      <w:r w:rsidRPr="00506C79">
        <w:rPr>
          <w:rStyle w:val="StyleUnderline"/>
          <w:highlight w:val="cyan"/>
        </w:rPr>
        <w:t>prior informed consent</w:t>
      </w:r>
      <w:r w:rsidRPr="00506C79">
        <w:rPr>
          <w:rStyle w:val="StyleUnderline"/>
        </w:rPr>
        <w:t xml:space="preserve"> of the people and communities connected to the territories and areas to which the terms referred. These </w:t>
      </w:r>
      <w:r w:rsidRPr="00506C79">
        <w:rPr>
          <w:rStyle w:val="StyleUnderline"/>
          <w:highlight w:val="cyan"/>
        </w:rPr>
        <w:t>acronyms</w:t>
      </w:r>
      <w:r w:rsidRPr="00506C79">
        <w:rPr>
          <w:rStyle w:val="StyleUnderline"/>
        </w:rPr>
        <w:t xml:space="preserve"> overtly express the ‘conserved’ label on locations which may be </w:t>
      </w:r>
      <w:r w:rsidRPr="00506C79">
        <w:rPr>
          <w:rStyle w:val="StyleUnderline"/>
          <w:highlight w:val="cyan"/>
        </w:rPr>
        <w:t>regarded</w:t>
      </w:r>
      <w:r w:rsidRPr="00506C79">
        <w:rPr>
          <w:rStyle w:val="StyleUnderline"/>
        </w:rPr>
        <w:t xml:space="preserve"> very </w:t>
      </w:r>
      <w:r w:rsidRPr="00506C79">
        <w:rPr>
          <w:rStyle w:val="StyleUnderline"/>
          <w:highlight w:val="cyan"/>
        </w:rPr>
        <w:t>differently by</w:t>
      </w:r>
      <w:r w:rsidRPr="00506C79">
        <w:rPr>
          <w:rStyle w:val="StyleUnderline"/>
        </w:rPr>
        <w:t xml:space="preserve"> the </w:t>
      </w:r>
      <w:r w:rsidRPr="00506C79">
        <w:rPr>
          <w:rStyle w:val="StyleUnderline"/>
          <w:highlight w:val="cyan"/>
        </w:rPr>
        <w:t>Indigenous peoples</w:t>
      </w:r>
      <w:r w:rsidRPr="00506C79">
        <w:rPr>
          <w:rStyle w:val="StyleUnderline"/>
        </w:rPr>
        <w:t xml:space="preserve"> and communities involved.</w:t>
      </w:r>
      <w:r w:rsidRPr="00506C79">
        <w:rPr>
          <w:sz w:val="16"/>
        </w:rPr>
        <w:t xml:space="preserve"> Since 2010, the ICCA literature has included caveats such as: </w:t>
      </w:r>
      <w:r w:rsidRPr="00506C79">
        <w:rPr>
          <w:rStyle w:val="StyleUnderline"/>
        </w:rPr>
        <w:t xml:space="preserve">The </w:t>
      </w:r>
      <w:r w:rsidRPr="00506C79">
        <w:rPr>
          <w:rStyle w:val="StyleUnderline"/>
          <w:highlight w:val="cyan"/>
        </w:rPr>
        <w:t>application of</w:t>
      </w:r>
      <w:r w:rsidRPr="00506C79">
        <w:rPr>
          <w:rStyle w:val="StyleUnderline"/>
        </w:rPr>
        <w:t xml:space="preserve"> the </w:t>
      </w:r>
      <w:r w:rsidRPr="00506C79">
        <w:rPr>
          <w:rStyle w:val="StyleUnderline"/>
          <w:highlight w:val="cyan"/>
        </w:rPr>
        <w:t>generic term ‘ICCA’ to</w:t>
      </w:r>
      <w:r w:rsidRPr="00506C79">
        <w:rPr>
          <w:rStyle w:val="StyleUnderline"/>
        </w:rPr>
        <w:t xml:space="preserve"> the myriad of </w:t>
      </w:r>
      <w:r w:rsidRPr="00506C79">
        <w:rPr>
          <w:rStyle w:val="StyleUnderline"/>
          <w:highlight w:val="cyan"/>
        </w:rPr>
        <w:t>territories</w:t>
      </w:r>
      <w:r w:rsidRPr="00506C79">
        <w:rPr>
          <w:rStyle w:val="StyleUnderline"/>
        </w:rPr>
        <w:t xml:space="preserve"> and land and/or water areas conserved by Indigenous peoples and local communities </w:t>
      </w:r>
      <w:r w:rsidRPr="00506C79">
        <w:rPr>
          <w:rStyle w:val="StyleUnderline"/>
          <w:highlight w:val="cyan"/>
        </w:rPr>
        <w:t>has not</w:t>
      </w:r>
      <w:r w:rsidRPr="00506C79">
        <w:rPr>
          <w:rStyle w:val="StyleUnderline"/>
        </w:rPr>
        <w:t xml:space="preserve"> yet </w:t>
      </w:r>
      <w:r w:rsidRPr="00506C79">
        <w:rPr>
          <w:rStyle w:val="StyleUnderline"/>
          <w:highlight w:val="cyan"/>
        </w:rPr>
        <w:t xml:space="preserve">been submitted </w:t>
      </w:r>
      <w:r w:rsidRPr="00506C79">
        <w:rPr>
          <w:rStyle w:val="StyleUnderline"/>
        </w:rPr>
        <w:t xml:space="preserve">to most of them </w:t>
      </w:r>
      <w:r w:rsidRPr="00506C79">
        <w:rPr>
          <w:rStyle w:val="StyleUnderline"/>
          <w:highlight w:val="cyan"/>
        </w:rPr>
        <w:t>for</w:t>
      </w:r>
      <w:r w:rsidRPr="00506C79">
        <w:rPr>
          <w:rStyle w:val="StyleUnderline"/>
        </w:rPr>
        <w:t xml:space="preserve"> their </w:t>
      </w:r>
      <w:r w:rsidRPr="00506C79">
        <w:rPr>
          <w:rStyle w:val="StyleUnderline"/>
          <w:highlight w:val="cyan"/>
        </w:rPr>
        <w:t>F</w:t>
      </w:r>
      <w:r w:rsidRPr="00506C79">
        <w:rPr>
          <w:rStyle w:val="StyleUnderline"/>
        </w:rPr>
        <w:t xml:space="preserve">ree, </w:t>
      </w:r>
      <w:r w:rsidRPr="00506C79">
        <w:rPr>
          <w:rStyle w:val="StyleUnderline"/>
          <w:highlight w:val="cyan"/>
        </w:rPr>
        <w:t>P</w:t>
      </w:r>
      <w:r w:rsidRPr="00506C79">
        <w:rPr>
          <w:rStyle w:val="StyleUnderline"/>
        </w:rPr>
        <w:t xml:space="preserve">rior and </w:t>
      </w:r>
      <w:r w:rsidRPr="00506C79">
        <w:rPr>
          <w:rStyle w:val="StyleUnderline"/>
          <w:highlight w:val="cyan"/>
        </w:rPr>
        <w:t>I</w:t>
      </w:r>
      <w:r w:rsidRPr="00506C79">
        <w:rPr>
          <w:rStyle w:val="StyleUnderline"/>
        </w:rPr>
        <w:t xml:space="preserve">nformed </w:t>
      </w:r>
      <w:r w:rsidRPr="00506C79">
        <w:rPr>
          <w:rStyle w:val="StyleUnderline"/>
          <w:highlight w:val="cyan"/>
        </w:rPr>
        <w:t>C</w:t>
      </w:r>
      <w:r w:rsidRPr="00506C79">
        <w:rPr>
          <w:rStyle w:val="StyleUnderline"/>
        </w:rPr>
        <w:t>onsent. Such consent should not be implied.</w:t>
      </w:r>
      <w:r w:rsidRPr="00506C79">
        <w:rPr>
          <w:sz w:val="16"/>
        </w:rPr>
        <w:t xml:space="preserve"> The term is used here for the purpose of dialogue and communication rather than labelling. (ICCA Consortium, 2010) </w:t>
      </w:r>
      <w:r w:rsidRPr="00506C79">
        <w:rPr>
          <w:rStyle w:val="StyleUnderline"/>
        </w:rPr>
        <w:t xml:space="preserve">Even with this caveat, however, the ongoing reference to myriad </w:t>
      </w:r>
      <w:r w:rsidRPr="00506C79">
        <w:rPr>
          <w:rStyle w:val="StyleUnderline"/>
          <w:highlight w:val="cyan"/>
        </w:rPr>
        <w:t>ICCAs</w:t>
      </w:r>
      <w:r w:rsidRPr="00506C79">
        <w:rPr>
          <w:rStyle w:val="StyleUnderline"/>
        </w:rPr>
        <w:t xml:space="preserve"> still implies that countless unspecified locations are </w:t>
      </w:r>
      <w:r w:rsidRPr="00506C79">
        <w:rPr>
          <w:rStyle w:val="StyleUnderline"/>
          <w:highlight w:val="cyan"/>
        </w:rPr>
        <w:t>deemed</w:t>
      </w:r>
      <w:r w:rsidRPr="00506C79">
        <w:rPr>
          <w:rStyle w:val="StyleUnderline"/>
        </w:rPr>
        <w:t xml:space="preserve"> to be ICCAs, </w:t>
      </w:r>
      <w:r w:rsidRPr="00506C79">
        <w:rPr>
          <w:rStyle w:val="StyleUnderline"/>
          <w:highlight w:val="cyan"/>
        </w:rPr>
        <w:t>without</w:t>
      </w:r>
      <w:r w:rsidRPr="00506C79">
        <w:rPr>
          <w:rStyle w:val="StyleUnderline"/>
        </w:rPr>
        <w:t xml:space="preserve"> the knowledge or </w:t>
      </w:r>
      <w:r w:rsidRPr="00506C79">
        <w:rPr>
          <w:rStyle w:val="StyleUnderline"/>
          <w:highlight w:val="cyan"/>
        </w:rPr>
        <w:t>engagement of</w:t>
      </w:r>
      <w:r w:rsidRPr="00506C79">
        <w:rPr>
          <w:rStyle w:val="StyleUnderline"/>
        </w:rPr>
        <w:t xml:space="preserve"> the </w:t>
      </w:r>
      <w:r w:rsidRPr="00506C79">
        <w:rPr>
          <w:rStyle w:val="StyleUnderline"/>
          <w:highlight w:val="cyan"/>
        </w:rPr>
        <w:t>respective</w:t>
      </w:r>
      <w:r w:rsidRPr="00506C79">
        <w:rPr>
          <w:rStyle w:val="StyleUnderline"/>
        </w:rPr>
        <w:t xml:space="preserve"> people or </w:t>
      </w:r>
      <w:r w:rsidRPr="00506C79">
        <w:rPr>
          <w:rStyle w:val="StyleUnderline"/>
          <w:highlight w:val="cyan"/>
        </w:rPr>
        <w:t>communities</w:t>
      </w:r>
      <w:r w:rsidRPr="00506C79">
        <w:rPr>
          <w:rStyle w:val="StyleUnderline"/>
        </w:rPr>
        <w:t>.</w:t>
      </w:r>
      <w:r w:rsidRPr="00506C79">
        <w:rPr>
          <w:sz w:val="16"/>
        </w:rPr>
        <w:t xml:space="preserve"> Certainly in Australia there is a strong cultural proscription against ‘speaking for someone else’s Country’ (Smyth &amp; Grant, 2012); to do so shows a lack of respect for the people and their Country, even if no disrespect is intended.</w:t>
      </w:r>
    </w:p>
    <w:p w14:paraId="545A7B27" w14:textId="77777777" w:rsidR="00B4170C" w:rsidRPr="005D3724" w:rsidRDefault="00B4170C" w:rsidP="00B4170C">
      <w:pPr>
        <w:rPr>
          <w:sz w:val="16"/>
        </w:rPr>
      </w:pPr>
      <w:r w:rsidRPr="00506C79">
        <w:rPr>
          <w:rStyle w:val="StyleUnderline"/>
          <w:highlight w:val="cyan"/>
        </w:rPr>
        <w:lastRenderedPageBreak/>
        <w:t>Constraints of</w:t>
      </w:r>
      <w:r w:rsidRPr="00506C79">
        <w:rPr>
          <w:rStyle w:val="StyleUnderline"/>
        </w:rPr>
        <w:t xml:space="preserve"> the ICCA </w:t>
      </w:r>
      <w:r w:rsidRPr="00506C79">
        <w:rPr>
          <w:rStyle w:val="StyleUnderline"/>
          <w:highlight w:val="cyan"/>
        </w:rPr>
        <w:t>criteria</w:t>
      </w:r>
      <w:r w:rsidRPr="00506C79">
        <w:rPr>
          <w:rStyle w:val="StyleUnderline"/>
        </w:rPr>
        <w:t xml:space="preserve"> The current criteria for recognition of ICCAs </w:t>
      </w:r>
      <w:r w:rsidRPr="00506C79">
        <w:rPr>
          <w:rStyle w:val="StyleUnderline"/>
          <w:highlight w:val="cyan"/>
        </w:rPr>
        <w:t>constrain Indigenous peoples</w:t>
      </w:r>
      <w:r w:rsidRPr="00506C79">
        <w:rPr>
          <w:rStyle w:val="StyleUnderline"/>
        </w:rPr>
        <w:t xml:space="preserve"> or local communities </w:t>
      </w:r>
      <w:r w:rsidRPr="00506C79">
        <w:rPr>
          <w:rStyle w:val="StyleUnderline"/>
          <w:highlight w:val="cyan"/>
        </w:rPr>
        <w:t>from applying</w:t>
      </w:r>
      <w:r w:rsidRPr="00506C79">
        <w:rPr>
          <w:rStyle w:val="StyleUnderline"/>
        </w:rPr>
        <w:t xml:space="preserve"> the ICCA framework to areas of their traditional domains if they no longer have de facto or de jure decisionmaking power over those areas</w:t>
      </w:r>
      <w:r w:rsidRPr="00506C79">
        <w:rPr>
          <w:sz w:val="16"/>
        </w:rPr>
        <w:t xml:space="preserve"> (IUCN, 2014). </w:t>
      </w:r>
      <w:r w:rsidRPr="00506C79">
        <w:rPr>
          <w:rStyle w:val="StyleUnderline"/>
        </w:rPr>
        <w:t>This limitation of the current ICCA criteria is similar to the limitation of IPAs when they were restricted to areas of Indigenous-owned land over which Indigenous people had complete decision-making authority</w:t>
      </w:r>
      <w:r w:rsidRPr="00506C79">
        <w:rPr>
          <w:sz w:val="16"/>
        </w:rPr>
        <w:t>. As discussed above, the IPA concept has evolved beyond the constraints of Indigenous tenure to better reflect traditional Country, providing an opportunity for this ancient cultural and geographical scale to re-emerge as the basis for contemporary landscape and seascape management. There may be opportunities for the ICCA concept to similarly evolve, as discussed further below.</w:t>
      </w:r>
    </w:p>
    <w:p w14:paraId="2E3358FE" w14:textId="77777777" w:rsidR="00B4170C" w:rsidRDefault="00B4170C" w:rsidP="00B4170C">
      <w:pPr>
        <w:pStyle w:val="Heading4"/>
      </w:pPr>
    </w:p>
    <w:p w14:paraId="2A4D959F" w14:textId="77777777" w:rsidR="00B4170C" w:rsidRPr="00B4170C" w:rsidRDefault="00B4170C" w:rsidP="00B4170C"/>
    <w:p w14:paraId="2AA734C9" w14:textId="77777777" w:rsidR="00884C08" w:rsidRPr="00884C08" w:rsidRDefault="00884C08" w:rsidP="00884C08"/>
    <w:sectPr w:rsidR="00884C08" w:rsidRPr="00884C08" w:rsidSect="00115919">
      <w:pgSz w:w="11910" w:h="16840"/>
      <w:pgMar w:top="1340" w:right="1325" w:bottom="274" w:left="13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F47326"/>
    <w:multiLevelType w:val="hybridMultilevel"/>
    <w:tmpl w:val="6E540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6"/>
  <w:attachedTemplate r:id="rId1"/>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C08"/>
    <w:rsid w:val="00115919"/>
    <w:rsid w:val="00176BA8"/>
    <w:rsid w:val="001E0E32"/>
    <w:rsid w:val="002F5B8E"/>
    <w:rsid w:val="00752776"/>
    <w:rsid w:val="00884C08"/>
    <w:rsid w:val="00972282"/>
    <w:rsid w:val="00AC2007"/>
    <w:rsid w:val="00B10EC1"/>
    <w:rsid w:val="00B4170C"/>
    <w:rsid w:val="00DC390C"/>
    <w:rsid w:val="00F20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150478"/>
  <w15:chartTrackingRefBased/>
  <w15:docId w15:val="{8DE60A6F-0ADB-6D4D-84F1-9615EFFCF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1E0E32"/>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1E0E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0E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E0E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1E0E3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E0E3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84C08"/>
    <w:pPr>
      <w:keepNext/>
      <w:keepLines/>
      <w:spacing w:before="240" w:after="80" w:line="276" w:lineRule="auto"/>
      <w:outlineLvl w:val="5"/>
    </w:pPr>
    <w:rPr>
      <w:rFonts w:ascii="Arial" w:eastAsia="Arial" w:hAnsi="Arial" w:cs="Arial"/>
      <w:i/>
      <w:iCs/>
      <w:color w:val="666666"/>
      <w:lang w:val="en"/>
    </w:rPr>
  </w:style>
  <w:style w:type="character" w:default="1" w:styleId="DefaultParagraphFont">
    <w:name w:val="Default Paragraph Font"/>
    <w:uiPriority w:val="1"/>
    <w:semiHidden/>
    <w:unhideWhenUsed/>
    <w:rsid w:val="001E0E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0E32"/>
  </w:style>
  <w:style w:type="character" w:customStyle="1" w:styleId="Heading1Char">
    <w:name w:val="Heading 1 Char"/>
    <w:aliases w:val="Pocket Char"/>
    <w:basedOn w:val="DefaultParagraphFont"/>
    <w:link w:val="Heading1"/>
    <w:rsid w:val="001E0E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0E3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E0E3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1E0E32"/>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rsid w:val="001E0E32"/>
    <w:rPr>
      <w:rFonts w:asciiTheme="majorHAnsi" w:eastAsiaTheme="majorEastAsia" w:hAnsiTheme="majorHAnsi" w:cstheme="majorBidi"/>
      <w:color w:val="2F5496" w:themeColor="accent1" w:themeShade="BF"/>
      <w:sz w:val="22"/>
      <w:szCs w:val="22"/>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8"/>
    <w:qFormat/>
    <w:rsid w:val="001E0E32"/>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1E0E3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0E3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Style"/>
    <w:basedOn w:val="DefaultParagraphFont"/>
    <w:uiPriority w:val="7"/>
    <w:qFormat/>
    <w:rsid w:val="001E0E32"/>
    <w:rPr>
      <w:b w:val="0"/>
      <w:sz w:val="22"/>
      <w:u w:val="single"/>
    </w:rPr>
  </w:style>
  <w:style w:type="character" w:styleId="Strong">
    <w:name w:val="Strong"/>
    <w:basedOn w:val="DefaultParagraphFont"/>
    <w:uiPriority w:val="22"/>
    <w:qFormat/>
    <w:rsid w:val="001E0E32"/>
    <w:rPr>
      <w:b/>
      <w:bCs/>
    </w:rPr>
  </w:style>
  <w:style w:type="character" w:styleId="BookTitle">
    <w:name w:val="Book Title"/>
    <w:basedOn w:val="DefaultParagraphFont"/>
    <w:uiPriority w:val="33"/>
    <w:qFormat/>
    <w:rsid w:val="001E0E32"/>
    <w:rPr>
      <w:b/>
      <w:bCs/>
      <w:i/>
      <w:iCs/>
      <w:spacing w:val="5"/>
    </w:rPr>
  </w:style>
  <w:style w:type="numbering" w:styleId="111111">
    <w:name w:val="Outline List 2"/>
    <w:basedOn w:val="NoList"/>
    <w:uiPriority w:val="99"/>
    <w:semiHidden/>
    <w:unhideWhenUsed/>
    <w:rsid w:val="001E0E32"/>
  </w:style>
  <w:style w:type="paragraph" w:styleId="Header">
    <w:name w:val="header"/>
    <w:basedOn w:val="Normal"/>
    <w:link w:val="HeaderChar"/>
    <w:uiPriority w:val="99"/>
    <w:semiHidden/>
    <w:rsid w:val="001E0E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0E32"/>
    <w:rPr>
      <w:rFonts w:ascii="Calibri" w:hAnsi="Calibri" w:cs="Calibri"/>
      <w:sz w:val="22"/>
      <w:szCs w:val="22"/>
    </w:rPr>
  </w:style>
  <w:style w:type="paragraph" w:styleId="Footer">
    <w:name w:val="footer"/>
    <w:basedOn w:val="Normal"/>
    <w:link w:val="FooterChar"/>
    <w:uiPriority w:val="99"/>
    <w:semiHidden/>
    <w:rsid w:val="001E0E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0E32"/>
    <w:rPr>
      <w:rFonts w:ascii="Calibri" w:hAnsi="Calibri" w:cs="Calibri"/>
      <w:sz w:val="22"/>
      <w:szCs w:val="22"/>
    </w:rPr>
  </w:style>
  <w:style w:type="paragraph" w:styleId="BodyText">
    <w:name w:val="Body Text"/>
    <w:basedOn w:val="Normal"/>
    <w:link w:val="BodyTextChar"/>
    <w:uiPriority w:val="99"/>
    <w:semiHidden/>
    <w:unhideWhenUsed/>
    <w:rsid w:val="001E0E32"/>
    <w:pPr>
      <w:spacing w:after="120"/>
    </w:pPr>
  </w:style>
  <w:style w:type="character" w:customStyle="1" w:styleId="BodyTextChar">
    <w:name w:val="Body Text Char"/>
    <w:basedOn w:val="DefaultParagraphFont"/>
    <w:link w:val="BodyText"/>
    <w:uiPriority w:val="99"/>
    <w:semiHidden/>
    <w:rsid w:val="001E0E32"/>
    <w:rPr>
      <w:rFonts w:ascii="Calibri" w:hAnsi="Calibri" w:cs="Calibri"/>
      <w:sz w:val="22"/>
      <w:szCs w:val="22"/>
    </w:rPr>
  </w:style>
  <w:style w:type="paragraph" w:styleId="NoSpacing">
    <w:name w:val="No Spacing"/>
    <w:link w:val="NoSpacingChar"/>
    <w:uiPriority w:val="99"/>
    <w:unhideWhenUsed/>
    <w:qFormat/>
    <w:rsid w:val="001E0E32"/>
    <w:rPr>
      <w:rFonts w:ascii="Calibri" w:hAnsi="Calibri" w:cs="Calibri"/>
      <w:sz w:val="22"/>
      <w:szCs w:val="22"/>
    </w:rPr>
  </w:style>
  <w:style w:type="character" w:customStyle="1" w:styleId="NoSpacingChar">
    <w:name w:val="No Spacing Char"/>
    <w:basedOn w:val="DefaultParagraphFont"/>
    <w:link w:val="NoSpacing"/>
    <w:uiPriority w:val="99"/>
    <w:rsid w:val="001E0E32"/>
    <w:rPr>
      <w:rFonts w:ascii="Calibri" w:hAnsi="Calibri" w:cs="Calibri"/>
      <w:sz w:val="22"/>
      <w:szCs w:val="22"/>
    </w:rPr>
  </w:style>
  <w:style w:type="character" w:styleId="Hyperlink">
    <w:name w:val="Hyperlink"/>
    <w:aliases w:val="heading 1 (block title),Card Text,Important,Read,Internet Link,Analytic Text,Internet link,Heading 3 Char1 Char1,No Underline Char1,Index Headers Char1,Underline Char Char Char Char1,TAG ,C,Heading 1 Char1,Pocket Char1,F2 - Heading 1 Char1"/>
    <w:basedOn w:val="DefaultParagraphFont"/>
    <w:link w:val="NoSpacing61"/>
    <w:uiPriority w:val="99"/>
    <w:unhideWhenUsed/>
    <w:rsid w:val="001E0E32"/>
    <w:rPr>
      <w:color w:val="0563C1" w:themeColor="hyperlink"/>
      <w:u w:val="single"/>
    </w:rPr>
  </w:style>
  <w:style w:type="character" w:styleId="UnresolvedMention">
    <w:name w:val="Unresolved Mention"/>
    <w:basedOn w:val="DefaultParagraphFont"/>
    <w:uiPriority w:val="99"/>
    <w:semiHidden/>
    <w:unhideWhenUsed/>
    <w:rsid w:val="001E0E32"/>
    <w:rPr>
      <w:color w:val="605E5C"/>
      <w:shd w:val="clear" w:color="auto" w:fill="E1DFDD"/>
    </w:rPr>
  </w:style>
  <w:style w:type="character" w:customStyle="1" w:styleId="Heading6Char">
    <w:name w:val="Heading 6 Char"/>
    <w:basedOn w:val="DefaultParagraphFont"/>
    <w:link w:val="Heading6"/>
    <w:uiPriority w:val="9"/>
    <w:semiHidden/>
    <w:rsid w:val="00884C08"/>
    <w:rPr>
      <w:rFonts w:ascii="Arial" w:eastAsia="Arial" w:hAnsi="Arial" w:cs="Arial"/>
      <w:i/>
      <w:iCs/>
      <w:color w:val="666666"/>
      <w:sz w:val="22"/>
      <w:szCs w:val="22"/>
      <w:lang w:val="en"/>
    </w:rPr>
  </w:style>
  <w:style w:type="table" w:customStyle="1" w:styleId="TableNormal0">
    <w:name w:val="TableNormal"/>
    <w:rsid w:val="00884C08"/>
    <w:pPr>
      <w:spacing w:line="276" w:lineRule="auto"/>
    </w:pPr>
    <w:rPr>
      <w:rFonts w:ascii="Arial" w:eastAsia="Arial" w:hAnsi="Arial" w:cs="Arial"/>
      <w:sz w:val="22"/>
      <w:szCs w:val="22"/>
      <w:lang w:val="en"/>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884C08"/>
    <w:pPr>
      <w:keepNext/>
      <w:keepLines/>
      <w:spacing w:after="60" w:line="276" w:lineRule="auto"/>
    </w:pPr>
    <w:rPr>
      <w:rFonts w:ascii="Arial" w:eastAsia="Arial" w:hAnsi="Arial" w:cs="Arial"/>
      <w:sz w:val="52"/>
      <w:szCs w:val="52"/>
      <w:lang w:val="en"/>
    </w:rPr>
  </w:style>
  <w:style w:type="character" w:customStyle="1" w:styleId="TitleChar">
    <w:name w:val="Title Char"/>
    <w:basedOn w:val="DefaultParagraphFont"/>
    <w:link w:val="Title"/>
    <w:uiPriority w:val="10"/>
    <w:rsid w:val="00884C08"/>
    <w:rPr>
      <w:rFonts w:ascii="Arial" w:eastAsia="Arial" w:hAnsi="Arial" w:cs="Arial"/>
      <w:sz w:val="52"/>
      <w:szCs w:val="52"/>
      <w:lang w:val="en"/>
    </w:rPr>
  </w:style>
  <w:style w:type="paragraph" w:styleId="Subtitle">
    <w:name w:val="Subtitle"/>
    <w:basedOn w:val="Normal"/>
    <w:next w:val="Normal"/>
    <w:link w:val="SubtitleChar"/>
    <w:uiPriority w:val="11"/>
    <w:qFormat/>
    <w:rsid w:val="00884C08"/>
    <w:pPr>
      <w:keepNext/>
      <w:keepLines/>
      <w:spacing w:after="320" w:line="276" w:lineRule="auto"/>
    </w:pPr>
    <w:rPr>
      <w:rFonts w:ascii="Arial" w:eastAsia="Arial" w:hAnsi="Arial" w:cs="Arial"/>
      <w:color w:val="666666"/>
      <w:sz w:val="30"/>
      <w:szCs w:val="30"/>
      <w:lang w:val="en"/>
    </w:rPr>
  </w:style>
  <w:style w:type="character" w:customStyle="1" w:styleId="SubtitleChar">
    <w:name w:val="Subtitle Char"/>
    <w:basedOn w:val="DefaultParagraphFont"/>
    <w:link w:val="Subtitle"/>
    <w:uiPriority w:val="11"/>
    <w:rsid w:val="00884C08"/>
    <w:rPr>
      <w:rFonts w:ascii="Arial" w:eastAsia="Arial" w:hAnsi="Arial" w:cs="Arial"/>
      <w:color w:val="666666"/>
      <w:sz w:val="30"/>
      <w:szCs w:val="30"/>
      <w:lang w:val="en"/>
    </w:rPr>
  </w:style>
  <w:style w:type="paragraph" w:customStyle="1" w:styleId="textbold">
    <w:name w:val="text bold"/>
    <w:basedOn w:val="Normal"/>
    <w:link w:val="Emphasis"/>
    <w:uiPriority w:val="8"/>
    <w:qFormat/>
    <w:rsid w:val="00B4170C"/>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6"/>
      <w:szCs w:val="24"/>
      <w:u w:val="single"/>
      <w:bdr w:val="single" w:sz="8" w:space="0" w:color="auto"/>
    </w:rPr>
  </w:style>
  <w:style w:type="paragraph" w:customStyle="1" w:styleId="NoSpacing61">
    <w:name w:val="No Spacing61"/>
    <w:basedOn w:val="Heading1"/>
    <w:next w:val="NoSpacing"/>
    <w:link w:val="Hyperlink"/>
    <w:autoRedefine/>
    <w:uiPriority w:val="99"/>
    <w:qFormat/>
    <w:rsid w:val="00B4170C"/>
    <w:pPr>
      <w:keepNext w:val="0"/>
      <w:keepLines w:val="0"/>
      <w:spacing w:before="0" w:line="252" w:lineRule="auto"/>
      <w:outlineLvl w:val="9"/>
    </w:pPr>
    <w:rPr>
      <w:rFonts w:asciiTheme="minorHAnsi" w:eastAsiaTheme="minorHAnsi" w:hAnsiTheme="minorHAnsi" w:cstheme="minorBidi"/>
      <w:b w:val="0"/>
      <w:color w:val="0563C1" w:themeColor="hyperlink"/>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ture.com/articles/s41599-022-01424-w" TargetMode="External"/><Relationship Id="rId21" Type="http://schemas.openxmlformats.org/officeDocument/2006/relationships/hyperlink" Target="https://www.nature.com/articles/s41599-022-01424-w" TargetMode="External"/><Relationship Id="rId42" Type="http://schemas.openxmlformats.org/officeDocument/2006/relationships/hyperlink" Target="https://www.nature.com/articles/s41599-022-01424-w" TargetMode="External"/><Relationship Id="rId47" Type="http://schemas.openxmlformats.org/officeDocument/2006/relationships/hyperlink" Target="https://www.nature.com/articles/s41599-022-01424-w" TargetMode="External"/><Relationship Id="rId63" Type="http://schemas.openxmlformats.org/officeDocument/2006/relationships/hyperlink" Target="https://www.nature.com/articles/s41599-022-01424-w" TargetMode="External"/><Relationship Id="rId68" Type="http://schemas.openxmlformats.org/officeDocument/2006/relationships/hyperlink" Target="https://www.nature.com/articles/s41599-022-01424-w" TargetMode="External"/><Relationship Id="rId84" Type="http://schemas.openxmlformats.org/officeDocument/2006/relationships/hyperlink" Target="https://www.nature.com/articles/s41599-022-01424-w" TargetMode="External"/><Relationship Id="rId89" Type="http://schemas.openxmlformats.org/officeDocument/2006/relationships/hyperlink" Target="https://www.terraincognitamedia.com/features/antiblackness-and-colonization2019" TargetMode="External"/><Relationship Id="rId16" Type="http://schemas.openxmlformats.org/officeDocument/2006/relationships/hyperlink" Target="https://www.nature.com/articles/s41599-022-01424-w" TargetMode="External"/><Relationship Id="rId11" Type="http://schemas.openxmlformats.org/officeDocument/2006/relationships/hyperlink" Target="https://www.nature.com/articles/s41599-022-01424-w" TargetMode="External"/><Relationship Id="rId32" Type="http://schemas.openxmlformats.org/officeDocument/2006/relationships/hyperlink" Target="https://www.nature.com/articles/s41599-022-01424-w" TargetMode="External"/><Relationship Id="rId37" Type="http://schemas.openxmlformats.org/officeDocument/2006/relationships/hyperlink" Target="https://www.nature.com/articles/s41599-022-01424-w" TargetMode="External"/><Relationship Id="rId53" Type="http://schemas.openxmlformats.org/officeDocument/2006/relationships/hyperlink" Target="https://www.nature.com/articles/s41599-022-01424-w" TargetMode="External"/><Relationship Id="rId58" Type="http://schemas.openxmlformats.org/officeDocument/2006/relationships/hyperlink" Target="https://www.nature.com/articles/s41599-022-01424-w" TargetMode="External"/><Relationship Id="rId74" Type="http://schemas.openxmlformats.org/officeDocument/2006/relationships/hyperlink" Target="https://www.nature.com/articles/s41599-022-01424-w" TargetMode="External"/><Relationship Id="rId79" Type="http://schemas.openxmlformats.org/officeDocument/2006/relationships/hyperlink" Target="https://www.nature.com/articles/s41599-022-01424-w" TargetMode="External"/><Relationship Id="rId5" Type="http://schemas.openxmlformats.org/officeDocument/2006/relationships/hyperlink" Target="https://www.nature.com/articles/s41599-022-01424-w" TargetMode="External"/><Relationship Id="rId90" Type="http://schemas.openxmlformats.org/officeDocument/2006/relationships/hyperlink" Target="https://www.facebook.com/groups/reparations.me/" TargetMode="External"/><Relationship Id="rId95" Type="http://schemas.openxmlformats.org/officeDocument/2006/relationships/hyperlink" Target="https://www.researchgate.net/publication/283821573_Indigenous_Protected_Areas_and_ICCAs_-_Commonalities_Contrasts_and_Confusions" TargetMode="External"/><Relationship Id="rId22" Type="http://schemas.openxmlformats.org/officeDocument/2006/relationships/hyperlink" Target="https://www.nature.com/articles/s41599-022-01424-w" TargetMode="External"/><Relationship Id="rId27" Type="http://schemas.openxmlformats.org/officeDocument/2006/relationships/hyperlink" Target="https://www.nature.com/articles/s41599-022-01424-w" TargetMode="External"/><Relationship Id="rId43" Type="http://schemas.openxmlformats.org/officeDocument/2006/relationships/hyperlink" Target="https://www.nature.com/articles/s41599-022-01424-w" TargetMode="External"/><Relationship Id="rId48" Type="http://schemas.openxmlformats.org/officeDocument/2006/relationships/hyperlink" Target="https://www.nature.com/articles/s41599-022-01424-w" TargetMode="External"/><Relationship Id="rId64" Type="http://schemas.openxmlformats.org/officeDocument/2006/relationships/hyperlink" Target="https://www.nature.com/articles/s41599-022-01424-w" TargetMode="External"/><Relationship Id="rId69" Type="http://schemas.openxmlformats.org/officeDocument/2006/relationships/hyperlink" Target="https://www.nature.com/articles/s41599-022-01424-w" TargetMode="External"/><Relationship Id="rId80" Type="http://schemas.openxmlformats.org/officeDocument/2006/relationships/hyperlink" Target="https://www.nature.com/articles/s41599-022-01424-w" TargetMode="External"/><Relationship Id="rId85" Type="http://schemas.openxmlformats.org/officeDocument/2006/relationships/hyperlink" Target="https://www.nature.com/articles/s41599-022-01424-w" TargetMode="External"/><Relationship Id="rId3" Type="http://schemas.openxmlformats.org/officeDocument/2006/relationships/settings" Target="settings.xml"/><Relationship Id="rId12" Type="http://schemas.openxmlformats.org/officeDocument/2006/relationships/hyperlink" Target="https://www.nature.com/articles/s41599-022-01424-w" TargetMode="External"/><Relationship Id="rId17" Type="http://schemas.openxmlformats.org/officeDocument/2006/relationships/hyperlink" Target="https://www.nature.com/articles/s41599-022-01424-w" TargetMode="External"/><Relationship Id="rId25" Type="http://schemas.openxmlformats.org/officeDocument/2006/relationships/hyperlink" Target="https://www.nature.com/articles/s41599-022-01424-w" TargetMode="External"/><Relationship Id="rId33" Type="http://schemas.openxmlformats.org/officeDocument/2006/relationships/hyperlink" Target="https://www.nature.com/articles/s41599-022-01424-w" TargetMode="External"/><Relationship Id="rId38" Type="http://schemas.openxmlformats.org/officeDocument/2006/relationships/hyperlink" Target="https://www.nature.com/articles/s41599-022-01424-w" TargetMode="External"/><Relationship Id="rId46" Type="http://schemas.openxmlformats.org/officeDocument/2006/relationships/hyperlink" Target="https://www.nature.com/articles/s41599-022-01424-w" TargetMode="External"/><Relationship Id="rId59" Type="http://schemas.openxmlformats.org/officeDocument/2006/relationships/hyperlink" Target="https://www.nature.com/articles/s41599-022-01424-w" TargetMode="External"/><Relationship Id="rId67" Type="http://schemas.openxmlformats.org/officeDocument/2006/relationships/hyperlink" Target="https://www.nature.com/articles/s41599-022-01424-w" TargetMode="External"/><Relationship Id="rId20" Type="http://schemas.openxmlformats.org/officeDocument/2006/relationships/hyperlink" Target="https://www.nature.com/articles/s41599-022-01424-w" TargetMode="External"/><Relationship Id="rId41" Type="http://schemas.openxmlformats.org/officeDocument/2006/relationships/hyperlink" Target="https://www.nature.com/articles/s41599-022-01424-w" TargetMode="External"/><Relationship Id="rId54" Type="http://schemas.openxmlformats.org/officeDocument/2006/relationships/hyperlink" Target="https://www.nature.com/articles/s41599-022-01424-w" TargetMode="External"/><Relationship Id="rId62" Type="http://schemas.openxmlformats.org/officeDocument/2006/relationships/hyperlink" Target="https://www.nature.com/articles/s41599-022-01424-w" TargetMode="External"/><Relationship Id="rId70" Type="http://schemas.openxmlformats.org/officeDocument/2006/relationships/hyperlink" Target="https://www.nature.com/articles/s41599-022-01424-w" TargetMode="External"/><Relationship Id="rId75" Type="http://schemas.openxmlformats.org/officeDocument/2006/relationships/hyperlink" Target="https://www.nature.com/articles/s41599-022-01424-w" TargetMode="External"/><Relationship Id="rId83" Type="http://schemas.openxmlformats.org/officeDocument/2006/relationships/hyperlink" Target="https://www.nature.com/articles/s41599-022-01424-w" TargetMode="External"/><Relationship Id="rId88" Type="http://schemas.openxmlformats.org/officeDocument/2006/relationships/hyperlink" Target="https://www.proquest.com/openview/62273e2af9381bddfc3e543ff25fa7ad/1?pq-origsite=gscholar&amp;cbl=18750&amp;diss=y" TargetMode="External"/><Relationship Id="rId91" Type="http://schemas.openxmlformats.org/officeDocument/2006/relationships/hyperlink" Target="https://digitalcommons.memphis.edu/etd/2689/"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ature.com/articles/s41599-022-01424-w" TargetMode="External"/><Relationship Id="rId15" Type="http://schemas.openxmlformats.org/officeDocument/2006/relationships/hyperlink" Target="https://www.nature.com/articles/s41599-022-01424-w" TargetMode="External"/><Relationship Id="rId23" Type="http://schemas.openxmlformats.org/officeDocument/2006/relationships/hyperlink" Target="https://www.nature.com/articles/s41599-022-01424-w" TargetMode="External"/><Relationship Id="rId28" Type="http://schemas.openxmlformats.org/officeDocument/2006/relationships/hyperlink" Target="https://www.nature.com/articles/s41599-022-01424-w" TargetMode="External"/><Relationship Id="rId36" Type="http://schemas.openxmlformats.org/officeDocument/2006/relationships/hyperlink" Target="https://www.nature.com/articles/s41599-022-01424-w" TargetMode="External"/><Relationship Id="rId49" Type="http://schemas.openxmlformats.org/officeDocument/2006/relationships/hyperlink" Target="https://www.nature.com/articles/s41599-022-01424-w" TargetMode="External"/><Relationship Id="rId57" Type="http://schemas.openxmlformats.org/officeDocument/2006/relationships/hyperlink" Target="https://www.nature.com/articles/s41599-022-01424-w" TargetMode="External"/><Relationship Id="rId10" Type="http://schemas.openxmlformats.org/officeDocument/2006/relationships/hyperlink" Target="https://www.nature.com/articles/s41599-022-01424-w" TargetMode="External"/><Relationship Id="rId31" Type="http://schemas.openxmlformats.org/officeDocument/2006/relationships/hyperlink" Target="https://www.nature.com/articles/s41599-022-01424-w" TargetMode="External"/><Relationship Id="rId44" Type="http://schemas.openxmlformats.org/officeDocument/2006/relationships/hyperlink" Target="https://www.nature.com/articles/s41599-022-01424-w" TargetMode="External"/><Relationship Id="rId52" Type="http://schemas.openxmlformats.org/officeDocument/2006/relationships/hyperlink" Target="https://www.nature.com/articles/s41599-022-01424-w" TargetMode="External"/><Relationship Id="rId60" Type="http://schemas.openxmlformats.org/officeDocument/2006/relationships/hyperlink" Target="https://www.nature.com/articles/s41599-022-01424-w" TargetMode="External"/><Relationship Id="rId65" Type="http://schemas.openxmlformats.org/officeDocument/2006/relationships/hyperlink" Target="https://www.nature.com/articles/s41599-022-01424-w" TargetMode="External"/><Relationship Id="rId73" Type="http://schemas.openxmlformats.org/officeDocument/2006/relationships/hyperlink" Target="https://www.nature.com/articles/s41599-022-01424-w" TargetMode="External"/><Relationship Id="rId78" Type="http://schemas.openxmlformats.org/officeDocument/2006/relationships/hyperlink" Target="https://www.nature.com/articles/s41599-022-01424-w" TargetMode="External"/><Relationship Id="rId81" Type="http://schemas.openxmlformats.org/officeDocument/2006/relationships/hyperlink" Target="https://www.nature.com/articles/s41599-022-01424-w" TargetMode="External"/><Relationship Id="rId86" Type="http://schemas.openxmlformats.org/officeDocument/2006/relationships/hyperlink" Target="https://www.nature.com/articles/s41599-022-01424-w" TargetMode="External"/><Relationship Id="rId94" Type="http://schemas.openxmlformats.org/officeDocument/2006/relationships/hyperlink" Target="https://www.iccaconsortium.org/2023/08/22/territories-of-life-manifesto/" TargetMode="External"/><Relationship Id="rId4" Type="http://schemas.openxmlformats.org/officeDocument/2006/relationships/webSettings" Target="webSettings.xml"/><Relationship Id="rId9" Type="http://schemas.openxmlformats.org/officeDocument/2006/relationships/hyperlink" Target="https://www.nature.com/articles/s41599-022-01424-w" TargetMode="External"/><Relationship Id="rId13" Type="http://schemas.openxmlformats.org/officeDocument/2006/relationships/hyperlink" Target="https://www.nature.com/articles/s41599-022-01424-w" TargetMode="External"/><Relationship Id="rId18" Type="http://schemas.openxmlformats.org/officeDocument/2006/relationships/hyperlink" Target="https://www.nature.com/articles/s41599-022-01424-w" TargetMode="External"/><Relationship Id="rId39" Type="http://schemas.openxmlformats.org/officeDocument/2006/relationships/hyperlink" Target="https://www.nature.com/articles/s41599-022-01424-w" TargetMode="External"/><Relationship Id="rId34" Type="http://schemas.openxmlformats.org/officeDocument/2006/relationships/hyperlink" Target="https://www.nature.com/articles/s41599-022-01424-w" TargetMode="External"/><Relationship Id="rId50" Type="http://schemas.openxmlformats.org/officeDocument/2006/relationships/hyperlink" Target="https://www.nature.com/articles/s41599-022-01424-w" TargetMode="External"/><Relationship Id="rId55" Type="http://schemas.openxmlformats.org/officeDocument/2006/relationships/hyperlink" Target="https://www.nature.com/articles/s41599-022-01424-w" TargetMode="External"/><Relationship Id="rId76" Type="http://schemas.openxmlformats.org/officeDocument/2006/relationships/hyperlink" Target="https://www.nature.com/articles/s41599-022-01424-w" TargetMode="External"/><Relationship Id="rId97" Type="http://schemas.openxmlformats.org/officeDocument/2006/relationships/theme" Target="theme/theme1.xml"/><Relationship Id="rId7" Type="http://schemas.openxmlformats.org/officeDocument/2006/relationships/hyperlink" Target="https://www.nature.com/articles/s41599-022-01424-w" TargetMode="External"/><Relationship Id="rId71" Type="http://schemas.openxmlformats.org/officeDocument/2006/relationships/hyperlink" Target="https://www.nature.com/articles/s41599-022-01424-w" TargetMode="External"/><Relationship Id="rId92" Type="http://schemas.openxmlformats.org/officeDocument/2006/relationships/hyperlink" Target="https://www.proquest.com/openview/62273e2af9381bddfc3e543ff25fa7ad/1?pq-origsite=gscholar&amp;cbl=18750&amp;diss=y" TargetMode="External"/><Relationship Id="rId2" Type="http://schemas.openxmlformats.org/officeDocument/2006/relationships/styles" Target="styles.xml"/><Relationship Id="rId29" Type="http://schemas.openxmlformats.org/officeDocument/2006/relationships/hyperlink" Target="https://www.nature.com/articles/s41599-022-01424-w" TargetMode="External"/><Relationship Id="rId24" Type="http://schemas.openxmlformats.org/officeDocument/2006/relationships/hyperlink" Target="https://www.nature.com/articles/s41599-022-01424-w" TargetMode="External"/><Relationship Id="rId40" Type="http://schemas.openxmlformats.org/officeDocument/2006/relationships/hyperlink" Target="https://www.nature.com/articles/s41599-022-01424-w" TargetMode="External"/><Relationship Id="rId45" Type="http://schemas.openxmlformats.org/officeDocument/2006/relationships/hyperlink" Target="https://www.nature.com/articles/s41599-022-01424-w" TargetMode="External"/><Relationship Id="rId66" Type="http://schemas.openxmlformats.org/officeDocument/2006/relationships/hyperlink" Target="https://www.nature.com/articles/s41599-022-01424-w" TargetMode="External"/><Relationship Id="rId87" Type="http://schemas.openxmlformats.org/officeDocument/2006/relationships/hyperlink" Target="https://www.proquest.com/openview/62273e2af9381bddfc3e543ff25fa7ad/1?pq-origsite=gscholar&amp;cbl=18750&amp;diss=y" TargetMode="External"/><Relationship Id="rId61" Type="http://schemas.openxmlformats.org/officeDocument/2006/relationships/hyperlink" Target="https://www.nature.com/articles/s41599-022-01424-w" TargetMode="External"/><Relationship Id="rId82" Type="http://schemas.openxmlformats.org/officeDocument/2006/relationships/hyperlink" Target="https://www.nature.com/articles/s41599-022-01424-w" TargetMode="External"/><Relationship Id="rId19" Type="http://schemas.openxmlformats.org/officeDocument/2006/relationships/hyperlink" Target="https://www.nature.com/articles/s41599-022-01424-w" TargetMode="External"/><Relationship Id="rId14" Type="http://schemas.openxmlformats.org/officeDocument/2006/relationships/hyperlink" Target="https://www.nature.com/articles/s41599-022-01424-w" TargetMode="External"/><Relationship Id="rId30" Type="http://schemas.openxmlformats.org/officeDocument/2006/relationships/hyperlink" Target="https://www.nature.com/articles/s41599-022-01424-w" TargetMode="External"/><Relationship Id="rId35" Type="http://schemas.openxmlformats.org/officeDocument/2006/relationships/hyperlink" Target="https://www.nature.com/articles/s41599-022-01424-w" TargetMode="External"/><Relationship Id="rId56" Type="http://schemas.openxmlformats.org/officeDocument/2006/relationships/hyperlink" Target="https://www.nature.com/articles/s41599-022-01424-w" TargetMode="External"/><Relationship Id="rId77" Type="http://schemas.openxmlformats.org/officeDocument/2006/relationships/hyperlink" Target="https://www.nature.com/articles/s41599-022-01424-w" TargetMode="External"/><Relationship Id="rId8" Type="http://schemas.openxmlformats.org/officeDocument/2006/relationships/hyperlink" Target="https://www.nature.com/articles/s41599-022-01424-w" TargetMode="External"/><Relationship Id="rId51" Type="http://schemas.openxmlformats.org/officeDocument/2006/relationships/hyperlink" Target="https://www.nature.com/articles/s41599-022-01424-w" TargetMode="External"/><Relationship Id="rId72" Type="http://schemas.openxmlformats.org/officeDocument/2006/relationships/hyperlink" Target="https://www.nature.com/articles/s41599-022-01424-w" TargetMode="External"/><Relationship Id="rId93" Type="http://schemas.openxmlformats.org/officeDocument/2006/relationships/hyperlink" Target="https://greattransition.org/gti-forum/movement-experiments-pathak-broo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choo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9</TotalTime>
  <Pages>41</Pages>
  <Words>27008</Words>
  <Characters>153952</Characters>
  <Application>Microsoft Office Word</Application>
  <DocSecurity>0</DocSecurity>
  <Lines>1282</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2025-12-13T02:18:00Z</dcterms:created>
  <dcterms:modified xsi:type="dcterms:W3CDTF">2025-12-13T19:38:00Z</dcterms:modified>
</cp:coreProperties>
</file>