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BiteQue</w:t>
      </w:r>
    </w:p>
    <w:p>
      <w:pPr>
        <w:spacing w:after="240"/>
      </w:pPr>
      <w:r>
        <w:t xml:space="preserve">Product Requirements Document</w:t>
      </w:r>
    </w:p>
    <w:p>
      <w:pPr>
        <w:spacing w:after="160"/>
      </w:pPr>
      <w:r>
        <w:rPr>
          <w:b/>
          <w:bCs/>
        </w:rPr>
        <w:t xml:space="preserve">Author: </w:t>
      </w:r>
      <w:r>
        <w:t xml:space="preserve">Mohammad Aasif Najar &amp; Shakir Meer</w:t>
      </w:r>
    </w:p>
    <w:p>
      <w:pPr>
        <w:spacing w:after="160"/>
      </w:pPr>
      <w:r>
        <w:rPr>
          <w:b/>
          <w:bCs/>
        </w:rPr>
        <w:t xml:space="preserve">Status: </w:t>
      </w:r>
      <w:r>
        <w:t xml:space="preserve">In active development (started 2025)</w:t>
      </w:r>
    </w:p>
    <w:p>
      <w:pPr>
        <w:spacing w:after="300"/>
      </w:pPr>
      <w:r>
        <w:rPr>
          <w:b/>
          <w:bCs/>
        </w:rPr>
        <w:t xml:space="preserve">Market: </w:t>
      </w:r>
      <w:r>
        <w:t xml:space="preserve">Kupwara, Jammu &amp; Kashmir, India</w:t>
      </w:r>
    </w:p>
    <w:p>
      <w:pPr>
        <w:pStyle w:val="Heading1"/>
        <w:spacing w:after="160" w:before="320"/>
      </w:pPr>
      <w:r>
        <w:t xml:space="preserve">1. Problem &amp; Opportunity</w:t>
      </w:r>
    </w:p>
    <w:p>
      <w:pPr>
        <w:spacing w:after="160"/>
      </w:pPr>
      <w:r>
        <w:t xml:space="preserve">There were no food delivery services available in Kupwara — no Zomato, no Swiggy, no Blinkit, and no local equivalent. Restaurants that wanted to offer delivery had to run it themselves with their own staff, or not offer it at all. There was no way for a customer to browse multiple restaurants, place an order, and get it delivered without calling the restaurant directly and arranging it ad hoc.</w:t>
      </w:r>
    </w:p>
    <w:p>
      <w:pPr>
        <w:spacing w:after="160"/>
      </w:pPr>
      <w:r>
        <w:t xml:space="preserve">That gap is why we decided to build BiteQue: a three-sided marketplace — customers, restaurants, and independent delivery riders — bringing organized food delivery to a market none of the national platforms had reached.</w:t>
      </w:r>
    </w:p>
    <w:p>
      <w:pPr>
        <w:pStyle w:val="Heading1"/>
        <w:spacing w:after="160" w:before="320"/>
      </w:pPr>
      <w:r>
        <w:t xml:space="preserve">2. Goals</w:t>
      </w:r>
    </w:p>
    <w:p>
      <w:pPr>
        <w:pStyle w:val="ListParagraph"/>
        <w:numPr>
          <w:ilvl w:val="0"/>
          <w:numId w:val="2"/>
        </w:numPr>
        <w:spacing w:after="100"/>
      </w:pPr>
      <w:r>
        <w:rPr>
          <w:b/>
          <w:bCs/>
        </w:rPr>
        <w:t xml:space="preserve">Launch with roughly 20 restaurants</w:t>
      </w:r>
      <w:r>
        <w:t xml:space="preserve">, concentrated in main Kupwara town, rather than spreading thin across the district on day one.</w:t>
      </w:r>
    </w:p>
    <w:p>
      <w:pPr>
        <w:pStyle w:val="ListParagraph"/>
        <w:numPr>
          <w:ilvl w:val="0"/>
          <w:numId w:val="2"/>
        </w:numPr>
        <w:spacing w:after="100"/>
      </w:pPr>
      <w:r>
        <w:t xml:space="preserve">Give customers in Kupwara a single app to discover restaurants, order food, and track delivery.</w:t>
      </w:r>
    </w:p>
    <w:p>
      <w:pPr>
        <w:pStyle w:val="ListParagraph"/>
        <w:numPr>
          <w:ilvl w:val="0"/>
          <w:numId w:val="2"/>
        </w:numPr>
        <w:spacing w:after="100"/>
      </w:pPr>
      <w:r>
        <w:t xml:space="preserve">Give local restaurants delivery reach without needing their own delivery staff or logistics software.</w:t>
      </w:r>
    </w:p>
    <w:p>
      <w:pPr>
        <w:pStyle w:val="ListParagraph"/>
        <w:numPr>
          <w:ilvl w:val="0"/>
          <w:numId w:val="2"/>
        </w:numPr>
        <w:spacing w:after="100"/>
      </w:pPr>
      <w:r>
        <w:t xml:space="preserve">Give riders in the area flexible, gig-style delivery work with transparent, itemized pay.</w:t>
      </w:r>
    </w:p>
    <w:p>
      <w:pPr>
        <w:pStyle w:val="ListParagraph"/>
        <w:numPr>
          <w:ilvl w:val="0"/>
          <w:numId w:val="2"/>
        </w:numPr>
        <w:spacing w:after="100"/>
      </w:pPr>
      <w:r>
        <w:t xml:space="preserve">Keep the platform tightly controlled during early rollout — approval gates on every participant (restaurants, riders, and even bank accounts) rather than open self-service signup, since trust and fraud prevention matter more than growth speed in a first market.</w:t>
      </w:r>
    </w:p>
    <w:p>
      <w:pPr>
        <w:pStyle w:val="Heading1"/>
        <w:spacing w:after="160" w:before="320"/>
      </w:pPr>
      <w:r>
        <w:t xml:space="preserve">3. Non-Goals (for now)</w:t>
      </w:r>
    </w:p>
    <w:p>
      <w:pPr>
        <w:pStyle w:val="ListParagraph"/>
        <w:numPr>
          <w:ilvl w:val="0"/>
          <w:numId w:val="2"/>
        </w:numPr>
        <w:spacing w:after="100"/>
      </w:pPr>
      <w:r>
        <w:t xml:space="preserve">Expansion beyond main Kupwara town, or to other districts/cities — the ~20-restaurant launch in-town comes first.</w:t>
      </w:r>
    </w:p>
    <w:p>
      <w:pPr>
        <w:pStyle w:val="ListParagraph"/>
        <w:numPr>
          <w:ilvl w:val="0"/>
          <w:numId w:val="2"/>
        </w:numPr>
        <w:spacing w:after="100"/>
      </w:pPr>
      <w:r>
        <w:t xml:space="preserve">In-app cart/checkout/payment collection — not yet built (see §9, Known Gaps).</w:t>
      </w:r>
    </w:p>
    <w:p>
      <w:pPr>
        <w:pStyle w:val="ListParagraph"/>
        <w:numPr>
          <w:ilvl w:val="0"/>
          <w:numId w:val="2"/>
        </w:numPr>
        <w:spacing w:after="100"/>
      </w:pPr>
      <w:r>
        <w:t xml:space="preserve">Automated onboarding — approvals are intentionally manual, not a limitation to be optimized away yet.</w:t>
      </w:r>
    </w:p>
    <w:p>
      <w:pPr>
        <w:pStyle w:val="Heading1"/>
        <w:spacing w:after="160" w:before="320"/>
      </w:pPr>
      <w:r>
        <w:t xml:space="preserve">4. Users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960"/>
        <w:gridCol w:w="4800"/>
      </w:tblGrid>
      <w:tr>
        <w:trPr>
          <w:tblHeader/>
        </w:trPr>
        <w:tc>
          <w:tcPr>
            <w:tcW w:type="dxa" w:w="1600"/>
            <w:shd w:fill="2C3E50" w:val="clear"/>
            <w:tcMar>
              <w:top w:type="dxa" w:w="100"/>
              <w:left w:type="dxa" w:w="120"/>
              <w:bottom w:type="dxa" w:w="100"/>
              <w:right w:type="dxa" w:w="120"/>
            </w:tcMar>
          </w:tcPr>
          <w:p>
            <w:r>
              <w:rPr>
                <w:b/>
                <w:bCs/>
                <w:color w:val="FFFFFF"/>
                <w:sz w:val="20"/>
                <w:szCs w:val="20"/>
              </w:rPr>
              <w:t xml:space="preserve">Role</w:t>
            </w:r>
          </w:p>
        </w:tc>
        <w:tc>
          <w:tcPr>
            <w:tcW w:type="dxa" w:w="2960"/>
            <w:shd w:fill="2C3E50" w:val="clear"/>
            <w:tcMar>
              <w:top w:type="dxa" w:w="100"/>
              <w:left w:type="dxa" w:w="120"/>
              <w:bottom w:type="dxa" w:w="100"/>
              <w:right w:type="dxa" w:w="120"/>
            </w:tcMar>
          </w:tcPr>
          <w:p>
            <w:r>
              <w:rPr>
                <w:b/>
                <w:bCs/>
                <w:color w:val="FFFFFF"/>
                <w:sz w:val="20"/>
                <w:szCs w:val="20"/>
              </w:rPr>
              <w:t xml:space="preserve">Who</w:t>
            </w:r>
          </w:p>
        </w:tc>
        <w:tc>
          <w:tcPr>
            <w:tcW w:type="dxa" w:w="4800"/>
            <w:shd w:fill="2C3E50" w:val="clear"/>
            <w:tcMar>
              <w:top w:type="dxa" w:w="100"/>
              <w:left w:type="dxa" w:w="120"/>
              <w:bottom w:type="dxa" w:w="100"/>
              <w:right w:type="dxa" w:w="120"/>
            </w:tcMar>
          </w:tcPr>
          <w:p>
            <w:r>
              <w:rPr>
                <w:b/>
                <w:bCs/>
                <w:color w:val="FFFFFF"/>
                <w:sz w:val="20"/>
                <w:szCs w:val="20"/>
              </w:rPr>
              <w:t xml:space="preserve">What they do in the product</w:t>
            </w:r>
          </w:p>
        </w:tc>
      </w:tr>
      <w:tr>
        <w:tc>
          <w:tcPr>
            <w:tcW w:type="dxa" w:w="1600"/>
            <w:tcMar>
              <w:top w:type="dxa" w:w="100"/>
              <w:left w:type="dxa" w:w="120"/>
              <w:bottom w:type="dxa" w:w="100"/>
              <w:right w:type="dxa" w:w="120"/>
            </w:tcMar>
          </w:tcPr>
          <w:p>
            <w:r>
              <w:rPr>
                <w:b w:val="false"/>
                <w:bCs w:val="false"/>
                <w:sz w:val="20"/>
                <w:szCs w:val="20"/>
              </w:rPr>
              <w:t xml:space="preserve">Customer</w:t>
            </w:r>
          </w:p>
        </w:tc>
        <w:tc>
          <w:tcPr>
            <w:tcW w:type="dxa" w:w="2960"/>
            <w:tcMar>
              <w:top w:type="dxa" w:w="100"/>
              <w:left w:type="dxa" w:w="120"/>
              <w:bottom w:type="dxa" w:w="100"/>
              <w:right w:type="dxa" w:w="120"/>
            </w:tcMar>
          </w:tcPr>
          <w:p>
            <w:r>
              <w:rPr>
                <w:b w:val="false"/>
                <w:bCs w:val="false"/>
                <w:sz w:val="20"/>
                <w:szCs w:val="20"/>
              </w:rPr>
              <w:t xml:space="preserve">End users ordering food</w:t>
            </w:r>
          </w:p>
        </w:tc>
        <w:tc>
          <w:tcPr>
            <w:tcW w:type="dxa" w:w="4800"/>
            <w:tcMar>
              <w:top w:type="dxa" w:w="100"/>
              <w:left w:type="dxa" w:w="120"/>
              <w:bottom w:type="dxa" w:w="100"/>
              <w:right w:type="dxa" w:w="120"/>
            </w:tcMar>
          </w:tcPr>
          <w:p>
            <w:r>
              <w:rPr>
                <w:b w:val="false"/>
                <w:bCs w:val="false"/>
                <w:sz w:val="20"/>
                <w:szCs w:val="20"/>
              </w:rPr>
              <w:t xml:space="preserve">Browse restaurants, view menus, place orders, track status, leave feedback</w:t>
            </w:r>
          </w:p>
        </w:tc>
      </w:tr>
      <w:tr>
        <w:tc>
          <w:tcPr>
            <w:tcW w:type="dxa" w:w="1600"/>
            <w:tcMar>
              <w:top w:type="dxa" w:w="100"/>
              <w:left w:type="dxa" w:w="120"/>
              <w:bottom w:type="dxa" w:w="100"/>
              <w:right w:type="dxa" w:w="120"/>
            </w:tcMar>
          </w:tcPr>
          <w:p>
            <w:r>
              <w:rPr>
                <w:b w:val="false"/>
                <w:bCs w:val="false"/>
                <w:sz w:val="20"/>
                <w:szCs w:val="20"/>
              </w:rPr>
              <w:t xml:space="preserve">Merchant</w:t>
            </w:r>
          </w:p>
        </w:tc>
        <w:tc>
          <w:tcPr>
            <w:tcW w:type="dxa" w:w="2960"/>
            <w:tcMar>
              <w:top w:type="dxa" w:w="100"/>
              <w:left w:type="dxa" w:w="120"/>
              <w:bottom w:type="dxa" w:w="100"/>
              <w:right w:type="dxa" w:w="120"/>
            </w:tcMar>
          </w:tcPr>
          <w:p>
            <w:r>
              <w:rPr>
                <w:b w:val="false"/>
                <w:bCs w:val="false"/>
                <w:sz w:val="20"/>
                <w:szCs w:val="20"/>
              </w:rPr>
              <w:t xml:space="preserve">Restaurant owners</w:t>
            </w:r>
          </w:p>
        </w:tc>
        <w:tc>
          <w:tcPr>
            <w:tcW w:type="dxa" w:w="4800"/>
            <w:tcMar>
              <w:top w:type="dxa" w:w="100"/>
              <w:left w:type="dxa" w:w="120"/>
              <w:bottom w:type="dxa" w:w="100"/>
              <w:right w:type="dxa" w:w="120"/>
            </w:tcMar>
          </w:tcPr>
          <w:p>
            <w:r>
              <w:rPr>
                <w:b w:val="false"/>
                <w:bCs w:val="false"/>
                <w:sz w:val="20"/>
                <w:szCs w:val="20"/>
              </w:rPr>
              <w:t xml:space="preserve">Register a restaurant (pending admin approval), manage menu items and availability, view earnings, add payout bank accounts</w:t>
            </w:r>
          </w:p>
        </w:tc>
      </w:tr>
      <w:tr>
        <w:tc>
          <w:tcPr>
            <w:tcW w:type="dxa" w:w="1600"/>
            <w:tcMar>
              <w:top w:type="dxa" w:w="100"/>
              <w:left w:type="dxa" w:w="120"/>
              <w:bottom w:type="dxa" w:w="100"/>
              <w:right w:type="dxa" w:w="120"/>
            </w:tcMar>
          </w:tcPr>
          <w:p>
            <w:r>
              <w:rPr>
                <w:b w:val="false"/>
                <w:bCs w:val="false"/>
                <w:sz w:val="20"/>
                <w:szCs w:val="20"/>
              </w:rPr>
              <w:t xml:space="preserve">Rider</w:t>
            </w:r>
          </w:p>
        </w:tc>
        <w:tc>
          <w:tcPr>
            <w:tcW w:type="dxa" w:w="2960"/>
            <w:tcMar>
              <w:top w:type="dxa" w:w="100"/>
              <w:left w:type="dxa" w:w="120"/>
              <w:bottom w:type="dxa" w:w="100"/>
              <w:right w:type="dxa" w:w="120"/>
            </w:tcMar>
          </w:tcPr>
          <w:p>
            <w:r>
              <w:rPr>
                <w:b w:val="false"/>
                <w:bCs w:val="false"/>
                <w:sz w:val="20"/>
                <w:szCs w:val="20"/>
              </w:rPr>
              <w:t xml:space="preserve">Delivery gig workers</w:t>
            </w:r>
          </w:p>
        </w:tc>
        <w:tc>
          <w:tcPr>
            <w:tcW w:type="dxa" w:w="4800"/>
            <w:tcMar>
              <w:top w:type="dxa" w:w="100"/>
              <w:left w:type="dxa" w:w="120"/>
              <w:bottom w:type="dxa" w:w="100"/>
              <w:right w:type="dxa" w:w="120"/>
            </w:tcMar>
          </w:tcPr>
          <w:p>
            <w:r>
              <w:rPr>
                <w:b w:val="false"/>
                <w:bCs w:val="false"/>
                <w:sz w:val="20"/>
                <w:szCs w:val="20"/>
              </w:rPr>
              <w:t xml:space="preserve">Register with KYC documents (pending approval), toggle availability, accept/reject order assignments, deliver, get paid per order</w:t>
            </w:r>
          </w:p>
        </w:tc>
      </w:tr>
      <w:tr>
        <w:tc>
          <w:tcPr>
            <w:tcW w:type="dxa" w:w="1600"/>
            <w:tcMar>
              <w:top w:type="dxa" w:w="100"/>
              <w:left w:type="dxa" w:w="120"/>
              <w:bottom w:type="dxa" w:w="100"/>
              <w:right w:type="dxa" w:w="120"/>
            </w:tcMar>
          </w:tcPr>
          <w:p>
            <w:r>
              <w:rPr>
                <w:b w:val="false"/>
                <w:bCs w:val="false"/>
                <w:sz w:val="20"/>
                <w:szCs w:val="20"/>
              </w:rPr>
              <w:t xml:space="preserve">Admin (us)</w:t>
            </w:r>
          </w:p>
        </w:tc>
        <w:tc>
          <w:tcPr>
            <w:tcW w:type="dxa" w:w="2960"/>
            <w:tcMar>
              <w:top w:type="dxa" w:w="100"/>
              <w:left w:type="dxa" w:w="120"/>
              <w:bottom w:type="dxa" w:w="100"/>
              <w:right w:type="dxa" w:w="120"/>
            </w:tcMar>
          </w:tcPr>
          <w:p>
            <w:r>
              <w:rPr>
                <w:b w:val="false"/>
                <w:bCs w:val="false"/>
                <w:sz w:val="20"/>
                <w:szCs w:val="20"/>
              </w:rPr>
              <w:t xml:space="preserve">Platform operators</w:t>
            </w:r>
          </w:p>
        </w:tc>
        <w:tc>
          <w:tcPr>
            <w:tcW w:type="dxa" w:w="4800"/>
            <w:tcMar>
              <w:top w:type="dxa" w:w="100"/>
              <w:left w:type="dxa" w:w="120"/>
              <w:bottom w:type="dxa" w:w="100"/>
              <w:right w:type="dxa" w:w="120"/>
            </w:tcMar>
          </w:tcPr>
          <w:p>
            <w:r>
              <w:rPr>
                <w:b w:val="false"/>
                <w:bCs w:val="false"/>
                <w:sz w:val="20"/>
                <w:szCs w:val="20"/>
              </w:rPr>
              <w:t xml:space="preserve">Approve/reject merchants, restaurants, riders, and bank accounts; the only role with unrestricted control</w:t>
            </w:r>
          </w:p>
        </w:tc>
      </w:tr>
    </w:tbl>
    <w:p>
      <w:pPr>
        <w:spacing w:after="200"/>
      </w:pPr>
    </w:p>
    <w:p>
      <w:pPr>
        <w:pStyle w:val="Heading1"/>
        <w:spacing w:after="160" w:before="320"/>
      </w:pPr>
      <w:r>
        <w:t xml:space="preserve">5. Core Flow: Order Lifecycle</w:t>
      </w:r>
    </w:p>
    <w:p>
      <w:pPr>
        <w:spacing w:after="160"/>
      </w:pPr>
      <w:r>
        <w:t xml:space="preserve">An order moves through a fixed state machine:</w:t>
      </w:r>
    </w:p>
    <w:p>
      <w:pPr>
        <w:pBdr>
          <w:top w:val="single" w:color="D9D9D9" w:sz="4"/>
          <w:bottom w:val="single" w:color="D9D9D9" w:sz="4"/>
          <w:left w:val="single" w:color="D9D9D9" w:sz="4"/>
          <w:right w:val="single" w:color="D9D9D9" w:sz="4"/>
        </w:pBdr>
        <w:shd w:fill="F2F2F2" w:val="clear"/>
        <w:spacing w:after="200" w:before="120"/>
        <w:ind w:left="200" w:right="200"/>
      </w:pPr>
      <w:r>
        <w:rPr>
          <w:rFonts w:ascii="Consolas" w:cs="Consolas" w:eastAsia="Consolas" w:hAnsi="Consolas"/>
          <w:sz w:val="20"/>
          <w:szCs w:val="20"/>
        </w:rPr>
        <w:t xml:space="preserve">pending → confirmed → ready → out_for_delivery → delivered</w:t>
      </w:r>
    </w:p>
    <w:p>
      <w:pPr>
        <w:spacing w:after="160"/>
      </w:pPr>
      <w:r>
        <w:t xml:space="preserve">The transition from </w:t>
      </w:r>
      <w:r>
        <w:rPr>
          <w:b/>
          <w:bCs/>
        </w:rPr>
        <w:t xml:space="preserve">ready → out_for_delivery</w:t>
      </w:r>
      <w:r>
        <w:t xml:space="preserve"> is the key handoff: the moment a restaurant marks an order ready, the system creates rider assignment(s) so a rider can pick it up. This is also where the hardest problem in the system shows up (see §6).</w:t>
      </w:r>
    </w:p>
    <w:p>
      <w:pPr>
        <w:pStyle w:val="Heading1"/>
        <w:spacing w:after="160" w:before="320"/>
      </w:pPr>
      <w:r>
        <w:t xml:space="preserve">6. Design Decision: Preventing Double-Acceptance of Orders</w:t>
      </w:r>
    </w:p>
    <w:p>
      <w:pPr>
        <w:spacing w:after="160"/>
      </w:pPr>
      <w:r>
        <w:rPr>
          <w:b/>
          <w:bCs/>
        </w:rPr>
        <w:t xml:space="preserve">The problem: </w:t>
      </w:r>
      <w:r>
        <w:t xml:space="preserve">When an order becomes ready, it needs to be offered to a rider. Early on, it was possible for more than one rider to see and accept the same order — a straightforward race condition once more than one rider was testing the app at the same time.</w:t>
      </w:r>
    </w:p>
    <w:p>
      <w:pPr>
        <w:spacing w:after="160"/>
      </w:pPr>
      <w:r>
        <w:rPr>
          <w:b/>
          <w:bCs/>
        </w:rPr>
        <w:t xml:space="preserve">What we did about it</w:t>
      </w:r>
      <w:r>
        <w:t xml:space="preserve">, layered, because each fix on its own wasn't sufficient:</w:t>
      </w:r>
    </w:p>
    <w:p>
      <w:pPr>
        <w:pStyle w:val="ListParagraph"/>
        <w:numPr>
          <w:ilvl w:val="0"/>
          <w:numId w:val="3"/>
        </w:numPr>
        <w:spacing w:after="100"/>
      </w:pPr>
      <w:r>
        <w:rPr>
          <w:b/>
          <w:bCs/>
        </w:rPr>
        <w:t xml:space="preserve">Database constraint</w:t>
      </w:r>
      <w:r>
        <w:t xml:space="preserve"> — OrderAssignment has a UniqueConstraint that permits only one accepted assignment per order at the database level. This is the actual source of truth / last line of defense.</w:t>
      </w:r>
    </w:p>
    <w:p>
      <w:pPr>
        <w:pStyle w:val="ListParagraph"/>
        <w:numPr>
          <w:ilvl w:val="0"/>
          <w:numId w:val="3"/>
        </w:numPr>
        <w:spacing w:after="100"/>
      </w:pPr>
      <w:r>
        <w:rPr>
          <w:b/>
          <w:bCs/>
        </w:rPr>
        <w:t xml:space="preserve">Application-level rejection on accept</w:t>
      </w:r>
      <w:r>
        <w:t xml:space="preserve"> — when a rider accepts, the accept_order view immediately marks every other assignment for that order as rejected, so competing riders' apps update fast instead of waiting on a background process.</w:t>
      </w:r>
    </w:p>
    <w:p>
      <w:pPr>
        <w:pStyle w:val="ListParagraph"/>
        <w:numPr>
          <w:ilvl w:val="0"/>
          <w:numId w:val="3"/>
        </w:numPr>
        <w:spacing w:after="100"/>
      </w:pPr>
      <w:r>
        <w:rPr>
          <w:b/>
          <w:bCs/>
        </w:rPr>
        <w:t xml:space="preserve">Signal-based cleanup</w:t>
      </w:r>
      <w:r>
        <w:t xml:space="preserve"> — a post_save signal on OrderAssignment independently re-asserts the same rejection logic and flips the order to out_for_delivery whenever any assignment is accepted, as a safety net in case a code path bypasses the view logic (e.g. admin panel edits).</w:t>
      </w:r>
    </w:p>
    <w:p>
      <w:pPr>
        <w:spacing w:after="160"/>
      </w:pPr>
      <w:r>
        <w:rPr>
          <w:b/>
          <w:bCs/>
        </w:rPr>
        <w:t xml:space="preserve">Trade-off: </w:t>
      </w:r>
      <w:r>
        <w:t xml:space="preserve">this is belt-and-suspenders — three places doing related work is redundant and a bit harder to maintain than one clean transaction. We chose it over a single elegant solution because we hit the bug more than once from different code paths and wanted a guarantee that held no matter how an assignment got updated, not just through the “happy path” view.</w:t>
      </w:r>
    </w:p>
    <w:p>
      <w:pPr>
        <w:pStyle w:val="Heading1"/>
        <w:spacing w:after="160" w:before="320"/>
      </w:pPr>
      <w:r>
        <w:t xml:space="preserve">7. Design Decision: Rider Pay Formula</w:t>
      </w:r>
    </w:p>
    <w:p>
      <w:pPr>
        <w:spacing w:after="160"/>
      </w:pPr>
      <w:r>
        <w:t xml:space="preserve">Riders are paid per delivered order as:</w:t>
      </w:r>
    </w:p>
    <w:p>
      <w:pPr>
        <w:pBdr>
          <w:top w:val="single" w:color="D9D9D9" w:sz="4"/>
          <w:bottom w:val="single" w:color="D9D9D9" w:sz="4"/>
          <w:left w:val="single" w:color="D9D9D9" w:sz="4"/>
          <w:right w:val="single" w:color="D9D9D9" w:sz="4"/>
        </w:pBdr>
        <w:shd w:fill="F2F2F2" w:val="clear"/>
        <w:spacing w:after="200" w:before="120"/>
        <w:ind w:left="200" w:right="200"/>
      </w:pPr>
      <w:r>
        <w:rPr>
          <w:rFonts w:ascii="Consolas" w:cs="Consolas" w:eastAsia="Consolas" w:hAnsi="Consolas"/>
          <w:sz w:val="20"/>
          <w:szCs w:val="20"/>
        </w:rPr>
        <w:t xml:space="preserve">total_earning = distance_earning + commission_earning</w:t>
      </w:r>
      <w:r>
        <w:rPr>
          <w:rFonts w:ascii="Consolas" w:cs="Consolas" w:eastAsia="Consolas" w:hAnsi="Consolas"/>
          <w:sz w:val="20"/>
          <w:szCs w:val="20"/>
        </w:rPr>
        <w:br/>
        <w:t xml:space="preserve"/>
      </w:r>
      <w:r>
        <w:rPr>
          <w:rFonts w:ascii="Consolas" w:cs="Consolas" w:eastAsia="Consolas" w:hAnsi="Consolas"/>
          <w:sz w:val="20"/>
          <w:szCs w:val="20"/>
        </w:rPr>
        <w:br/>
        <w:t xml:space="preserve">distance_earning = distance_km × ₹10/km   (straight-line, restaurant → delivery address, geocoded)</w:t>
      </w:r>
      <w:r>
        <w:rPr>
          <w:rFonts w:ascii="Consolas" w:cs="Consolas" w:eastAsia="Consolas" w:hAnsi="Consolas"/>
          <w:sz w:val="20"/>
          <w:szCs w:val="20"/>
        </w:rPr>
        <w:br/>
        <w:t xml:space="preserve"/>
      </w:r>
      <w:r>
        <w:rPr>
          <w:rFonts w:ascii="Consolas" w:cs="Consolas" w:eastAsia="Consolas" w:hAnsi="Consolas"/>
          <w:sz w:val="20"/>
          <w:szCs w:val="20"/>
        </w:rPr>
        <w:br/>
        <w:t xml:space="preserve">commission_earning = order_total × commission_rate, where commission_rate is tiered:</w:t>
      </w:r>
      <w:r>
        <w:rPr>
          <w:rFonts w:ascii="Consolas" w:cs="Consolas" w:eastAsia="Consolas" w:hAnsi="Consolas"/>
          <w:sz w:val="20"/>
          <w:szCs w:val="20"/>
        </w:rPr>
        <w:br/>
        <w:t xml:space="preserve">  order_total ≤ ₹200   → 10%</w:t>
      </w:r>
      <w:r>
        <w:rPr>
          <w:rFonts w:ascii="Consolas" w:cs="Consolas" w:eastAsia="Consolas" w:hAnsi="Consolas"/>
          <w:sz w:val="20"/>
          <w:szCs w:val="20"/>
        </w:rPr>
        <w:br/>
        <w:t xml:space="preserve">  order_total ≤ ₹400   → 6%</w:t>
      </w:r>
      <w:r>
        <w:rPr>
          <w:rFonts w:ascii="Consolas" w:cs="Consolas" w:eastAsia="Consolas" w:hAnsi="Consolas"/>
          <w:sz w:val="20"/>
          <w:szCs w:val="20"/>
        </w:rPr>
        <w:br/>
        <w:t xml:space="preserve">  order_total ≤ ₹1000  → 4%</w:t>
      </w:r>
      <w:r>
        <w:rPr>
          <w:rFonts w:ascii="Consolas" w:cs="Consolas" w:eastAsia="Consolas" w:hAnsi="Consolas"/>
          <w:sz w:val="20"/>
          <w:szCs w:val="20"/>
        </w:rPr>
        <w:br/>
        <w:t xml:space="preserve">  order_total ≤ ₹2000  → 2%</w:t>
      </w:r>
      <w:r>
        <w:rPr>
          <w:rFonts w:ascii="Consolas" w:cs="Consolas" w:eastAsia="Consolas" w:hAnsi="Consolas"/>
          <w:sz w:val="20"/>
          <w:szCs w:val="20"/>
        </w:rPr>
        <w:br/>
        <w:t xml:space="preserve">  order_total ≤ ₹4000  → 1%</w:t>
      </w:r>
      <w:r>
        <w:rPr>
          <w:rFonts w:ascii="Consolas" w:cs="Consolas" w:eastAsia="Consolas" w:hAnsi="Consolas"/>
          <w:sz w:val="20"/>
          <w:szCs w:val="20"/>
        </w:rPr>
        <w:br/>
        <w:t xml:space="preserve">  order_total &gt; ₹4000  → 0%</w:t>
      </w:r>
    </w:p>
    <w:p>
      <w:pPr>
        <w:spacing w:after="160"/>
      </w:pPr>
      <w:r>
        <w:rPr>
          <w:b/>
          <w:bCs/>
        </w:rPr>
        <w:t xml:space="preserve">Why a decreasing tier instead of a flat percentage: </w:t>
      </w:r>
      <w:r>
        <w:t xml:space="preserve">a flat commission rate under-pays riders on small, low-margin orders — a ₹150 order at a flat 5% commission is only ₹7.50, barely worth the trip even with distance pay. By front-loading a higher commission rate on small orders and tapering it toward zero on large ones, riders get meaningfully compensated on the orders that would otherwise be least worth accepting, while the platform doesn't overpay commission on orders that are already large enough to be worthwhile on distance pay alone.</w:t>
      </w:r>
    </w:p>
    <w:p>
      <w:pPr>
        <w:spacing w:after="160"/>
      </w:pPr>
      <w:r>
        <w:rPr>
          <w:b/>
          <w:bCs/>
        </w:rPr>
        <w:t xml:space="preserve">Planned, not yet built: </w:t>
      </w:r>
      <w:r>
        <w:t xml:space="preserve">an acceptance-rate bonus. The system already tracks each rider's accepted_assignments / total_assignments and computes an acceptance rate, but there's no payout logic tied to it yet — the intent is to reward riders who reliably accept assignments (reducing the failed-assignment churn described in §6) with a bonus, likely a threshold-based weekly top-up, but the exact structure hasn't been finalized.</w:t>
      </w:r>
    </w:p>
    <w:p>
      <w:pPr>
        <w:pStyle w:val="Heading1"/>
        <w:spacing w:after="160" w:before="320"/>
      </w:pPr>
      <w:r>
        <w:t xml:space="preserve">8. Design Decision: Manual Approval Everywhere</w:t>
      </w:r>
    </w:p>
    <w:p>
      <w:pPr>
        <w:spacing w:after="160"/>
      </w:pPr>
      <w:r>
        <w:t xml:space="preserve">Every participant — merchant accounts, restaurants, riders, and even payout bank accounts — requires manual admin approval (is_approved flags) before they're active. There is no self-service auto-approval anywhere in the system.</w:t>
      </w:r>
    </w:p>
    <w:p>
      <w:pPr>
        <w:spacing w:after="160"/>
      </w:pPr>
      <w:r>
        <w:rPr>
          <w:b/>
          <w:bCs/>
        </w:rPr>
        <w:t xml:space="preserve">Why: </w:t>
      </w:r>
      <w:r>
        <w:t xml:space="preserve">with the platform under our direct control in a single small market, verifying who's actually joining (rider KYC — Aadhar, driving license; restaurant business details — PAN, GSTIN, FSSAI) matters more than onboarding speed. Gating bank accounts specifically is a fraud control on the payout side — a rider or merchant can't redirect payouts to an unverified account.</w:t>
      </w:r>
    </w:p>
    <w:p>
      <w:pPr>
        <w:pStyle w:val="Heading1"/>
        <w:spacing w:after="160" w:before="320"/>
      </w:pPr>
      <w:r>
        <w:t xml:space="preserve">9. Known Gaps / Explicitly Unbuilt</w:t>
      </w:r>
    </w:p>
    <w:p>
      <w:pPr>
        <w:pStyle w:val="ListParagraph"/>
        <w:numPr>
          <w:ilvl w:val="0"/>
          <w:numId w:val="2"/>
        </w:numPr>
        <w:spacing w:after="100"/>
      </w:pPr>
      <w:r>
        <w:rPr>
          <w:b/>
          <w:bCs/>
        </w:rPr>
        <w:t xml:space="preserve">Cart, checkout, and in-app payment collection are not implemented.</w:t>
      </w:r>
      <w:r>
        <w:t xml:space="preserve"> Orders are currently created directly (see Order model), with cart/checkout/payment integration left as explicit TODOs in code. This is the biggest missing piece before the product is customer-ready end-to-end.</w:t>
      </w:r>
    </w:p>
    <w:p>
      <w:pPr>
        <w:pStyle w:val="ListParagraph"/>
        <w:numPr>
          <w:ilvl w:val="0"/>
          <w:numId w:val="2"/>
        </w:numPr>
        <w:spacing w:after="100"/>
      </w:pPr>
      <w:r>
        <w:rPr>
          <w:b/>
          <w:bCs/>
        </w:rPr>
        <w:t xml:space="preserve">Acceptance-rate bonus</w:t>
      </w:r>
      <w:r>
        <w:t xml:space="preserve"> (§7) — tracked, not paid out yet.</w:t>
      </w:r>
    </w:p>
    <w:p>
      <w:pPr>
        <w:pStyle w:val="ListParagraph"/>
        <w:numPr>
          <w:ilvl w:val="0"/>
          <w:numId w:val="2"/>
        </w:numPr>
        <w:spacing w:after="100"/>
      </w:pPr>
      <w:r>
        <w:t xml:space="preserve">Two engineering debts to fix regardless of feature work: hardcoded third-party API credentials in settings, and a legacy registration model that stores passwords outside Django's hashed auth system.</w:t>
      </w:r>
    </w:p>
    <w:p>
      <w:pPr>
        <w:pStyle w:val="Heading1"/>
        <w:spacing w:after="160" w:before="320"/>
      </w:pPr>
      <w:r>
        <w:t xml:space="preserve">10. Team</w:t>
      </w:r>
    </w:p>
    <w:p>
      <w:pPr>
        <w:spacing w:after="160"/>
      </w:pPr>
      <w:r>
        <w:t xml:space="preserve">Built by two: Mohammad Aasif Najar and Shakir Meer, covering both the product/business side (local market research, restaurant/rider relationships) and the full engineering build.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2026-08-31T09:47:22.131Z</dcterms:created>
  <dcterms:modified xsi:type="dcterms:W3CDTF">2026-08-31T09:47:22.133Z</dcterms:modified>
</cp:coreProperties>
</file>

<file path=docProps/custom.xml><?xml version="1.0" encoding="utf-8"?>
<Properties xmlns="http://schemas.openxmlformats.org/officeDocument/2006/custom-properties" xmlns:vt="http://schemas.openxmlformats.org/officeDocument/2006/docPropsVTypes"/>
</file>