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sz w:val="22"/>
          <w:szCs w:val="22"/>
        </w:rPr>
        <w:t xml:space="preserve"/>
      </w:r>
    </w:p>
    <w:p>
      <w:pPr>
        <w:spacing w:after="120"/>
        <w:jc w:val="center"/>
      </w:pPr>
      <w:r>
        <w:rPr>
          <w:rFonts w:ascii="Arial" w:cs="Arial" w:eastAsia="Arial" w:hAnsi="Arial"/>
          <w:b/>
          <w:bCs/>
          <w:color w:val="00843D"/>
          <w:sz w:val="48"/>
          <w:szCs w:val="48"/>
        </w:rPr>
        <w:t xml:space="preserve">UM6P — GSMI</w:t>
      </w:r>
    </w:p>
    <w:p>
      <w:pPr>
        <w:spacing w:after="80"/>
        <w:jc w:val="center"/>
      </w:pPr>
      <w:r>
        <w:rPr>
          <w:rFonts w:ascii="Arial" w:cs="Arial" w:eastAsia="Arial" w:hAnsi="Arial"/>
          <w:b/>
          <w:bCs/>
          <w:color w:val="1A2B4A"/>
          <w:sz w:val="36"/>
          <w:szCs w:val="36"/>
        </w:rPr>
        <w:t xml:space="preserve">PLATEFORME DE GESTION DES ACTIVITÉS DE RECHERCHE</w:t>
      </w:r>
    </w:p>
    <w:p>
      <w:pPr>
        <w:spacing w:after="600"/>
        <w:jc w:val="center"/>
      </w:pPr>
      <w:r>
        <w:rPr>
          <w:rFonts w:ascii="Arial" w:cs="Arial" w:eastAsia="Arial" w:hAnsi="Arial"/>
          <w:color w:val="555555"/>
          <w:sz w:val="28"/>
          <w:szCs w:val="28"/>
        </w:rPr>
        <w:t xml:space="preserve">Carnet du Chercheur Numérique</w:t>
      </w:r>
    </w:p>
    <w:p>
      <w:pPr>
        <w:spacing w:after="120"/>
        <w:jc w:val="center"/>
      </w:pPr>
      <w:r>
        <w:rPr>
          <w:rFonts w:ascii="Arial" w:cs="Arial" w:eastAsia="Arial" w:hAnsi="Arial"/>
          <w:b/>
          <w:bCs/>
          <w:color w:val="1A2B4A"/>
          <w:sz w:val="32"/>
          <w:szCs w:val="32"/>
        </w:rPr>
        <w:t xml:space="preserve">Cahier des Prescriptions Spéciales (CPS)</w:t>
      </w:r>
    </w:p>
    <w:p>
      <w:pPr>
        <w:spacing w:after="600"/>
        <w:jc w:val="center"/>
      </w:pPr>
      <w:r>
        <w:rPr>
          <w:rFonts w:ascii="Arial" w:cs="Arial" w:eastAsia="Arial" w:hAnsi="Arial"/>
          <w:color w:val="555555"/>
          <w:sz w:val="24"/>
          <w:szCs w:val="24"/>
        </w:rPr>
        <w:t xml:space="preserve">Document de Référence Fonctionnelle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A2B4A"/>
                <w:sz w:val="20"/>
                <w:szCs w:val="20"/>
              </w:rPr>
              <w:t xml:space="preserve">Date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Juin 2024</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A2B4A"/>
                <w:sz w:val="20"/>
                <w:szCs w:val="20"/>
              </w:rPr>
              <w:t xml:space="preserve">Statut</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officiel</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A2B4A"/>
                <w:sz w:val="20"/>
                <w:szCs w:val="20"/>
              </w:rPr>
              <w:t xml:space="preserve">Périmètre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Usage institutionnel UM6P / GSMI</w:t>
            </w:r>
          </w:p>
        </w:tc>
      </w:tr>
      <w:tr>
        <w:tc>
          <w:tcPr>
            <w:tcW w:type="dxa" w:w="30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120"/>
            </w:tcMar>
          </w:tcPr>
          <w:p>
            <w:r>
              <w:rPr>
                <w:rFonts w:ascii="Arial" w:cs="Arial" w:eastAsia="Arial" w:hAnsi="Arial"/>
                <w:b/>
                <w:bCs/>
                <w:color w:val="1A2B4A"/>
                <w:sz w:val="20"/>
                <w:szCs w:val="20"/>
              </w:rPr>
              <w:t xml:space="preserve">Langue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Français</w:t>
            </w:r>
          </w:p>
        </w:tc>
      </w:tr>
    </w:tbl>
    <w:p>
      <w:r>
        <w:br w:type="page"/>
      </w:r>
    </w:p>
    <w:p>
      <w:pPr>
        <w:pStyle w:val="Heading1"/>
        <w:shd w:fill="1A2B4A" w:val="clear"/>
        <w:spacing w:after="200" w:before="400"/>
        <w:ind w:left="200" w:right="200"/>
      </w:pPr>
      <w:r>
        <w:rPr>
          <w:rFonts w:ascii="Arial" w:cs="Arial" w:eastAsia="Arial" w:hAnsi="Arial"/>
          <w:b/>
          <w:bCs/>
          <w:color w:val="FFFFFF"/>
          <w:sz w:val="28"/>
          <w:szCs w:val="28"/>
        </w:rPr>
        <w:t xml:space="preserve">1. Introduction et Contexte</w:t>
      </w:r>
    </w:p>
    <w:p>
      <w:pPr>
        <w:pStyle w:val="Heading2"/>
        <w:pBdr>
          <w:bottom w:val="single" w:color="00843D" w:sz="6"/>
        </w:pBdr>
        <w:spacing w:after="120" w:before="300"/>
      </w:pPr>
      <w:r>
        <w:rPr>
          <w:rFonts w:ascii="Arial" w:cs="Arial" w:eastAsia="Arial" w:hAnsi="Arial"/>
          <w:b/>
          <w:bCs/>
          <w:color w:val="1A2B4A"/>
          <w:sz w:val="24"/>
          <w:szCs w:val="24"/>
        </w:rPr>
        <w:t xml:space="preserve">1.1 Présentation de l'organisation</w:t>
      </w:r>
    </w:p>
    <w:p>
      <w:pPr>
        <w:spacing w:after="120"/>
        <w:ind w:left="0"/>
      </w:pPr>
      <w:r>
        <w:rPr>
          <w:rFonts w:ascii="Arial" w:cs="Arial" w:eastAsia="Arial" w:hAnsi="Arial"/>
          <w:sz w:val="22"/>
          <w:szCs w:val="22"/>
        </w:rPr>
        <w:t xml:space="preserve">L'Université Mohammed VI Polytechnique (UM6P) est une université de recherche et d'innovation implantée au Maroc. Elle regroupe plusieurs écoles, laboratoires et centres de recherche parmi les plus dynamiques du continent africain.</w:t>
      </w:r>
    </w:p>
    <w:p>
      <w:pPr>
        <w:spacing w:after="120"/>
        <w:ind w:left="0"/>
      </w:pPr>
      <w:r>
        <w:rPr>
          <w:rFonts w:ascii="Arial" w:cs="Arial" w:eastAsia="Arial" w:hAnsi="Arial"/>
          <w:sz w:val="22"/>
          <w:szCs w:val="22"/>
        </w:rPr>
        <w:t xml:space="preserve">La GSMI (Graduate School of Management and Innovation) est l'une des entités de l'UM6P dédiée à la formation de haut niveau et à la recherche en management, innovation et sciences sociales appliquées.</w:t>
      </w:r>
    </w:p>
    <w:p>
      <w:pPr>
        <w:pStyle w:val="Heading2"/>
        <w:pBdr>
          <w:bottom w:val="single" w:color="00843D" w:sz="6"/>
        </w:pBdr>
        <w:spacing w:after="120" w:before="300"/>
      </w:pPr>
      <w:r>
        <w:rPr>
          <w:rFonts w:ascii="Arial" w:cs="Arial" w:eastAsia="Arial" w:hAnsi="Arial"/>
          <w:b/>
          <w:bCs/>
          <w:color w:val="1A2B4A"/>
          <w:sz w:val="24"/>
          <w:szCs w:val="24"/>
        </w:rPr>
        <w:t xml:space="preserve">1.2 Contexte et besoin</w:t>
      </w:r>
    </w:p>
    <w:p>
      <w:pPr>
        <w:spacing w:after="120"/>
        <w:ind w:left="0"/>
      </w:pPr>
      <w:r>
        <w:rPr>
          <w:rFonts w:ascii="Arial" w:cs="Arial" w:eastAsia="Arial" w:hAnsi="Arial"/>
          <w:sz w:val="22"/>
          <w:szCs w:val="22"/>
        </w:rPr>
        <w:t xml:space="preserve">Les chercheurs, enseignants-chercheurs, affiliés et experts de l'UM6P / GSMI exercent des activités très diversifiées : publications scientifiques, projets de recherche, formation, encadrement d'étudiants, communications, brevets, prestations de services, collaborations internationales et expertises diverses.</w:t>
      </w:r>
    </w:p>
    <w:p>
      <w:pPr>
        <w:spacing w:after="120"/>
        <w:ind w:left="0"/>
      </w:pPr>
      <w:r>
        <w:rPr>
          <w:rFonts w:ascii="Arial" w:cs="Arial" w:eastAsia="Arial" w:hAnsi="Arial"/>
          <w:sz w:val="22"/>
          <w:szCs w:val="22"/>
        </w:rPr>
        <w:t xml:space="preserve">La gestion de ces activités était jusqu'à présent assurée via un tableur Excel (Carnet du Chercheur v3). Si cet outil a permis une première structuration, il présente plusieurs limites importantes :</w:t>
      </w:r>
    </w:p>
    <w:p>
      <w:pPr>
        <w:pStyle w:val="ListParagraph"/>
        <w:numPr>
          <w:ilvl w:val="0"/>
          <w:numId w:val="2"/>
        </w:numPr>
        <w:spacing w:after="80"/>
      </w:pPr>
      <w:r>
        <w:rPr>
          <w:rFonts w:ascii="Arial" w:cs="Arial" w:eastAsia="Arial" w:hAnsi="Arial"/>
          <w:sz w:val="22"/>
          <w:szCs w:val="22"/>
        </w:rPr>
        <w:t xml:space="preserve">Redondance de saisie entre les différentes feuilles</w:t>
      </w:r>
    </w:p>
    <w:p>
      <w:pPr>
        <w:pStyle w:val="ListParagraph"/>
        <w:numPr>
          <w:ilvl w:val="0"/>
          <w:numId w:val="2"/>
        </w:numPr>
        <w:spacing w:after="80"/>
      </w:pPr>
      <w:r>
        <w:rPr>
          <w:rFonts w:ascii="Arial" w:cs="Arial" w:eastAsia="Arial" w:hAnsi="Arial"/>
          <w:sz w:val="22"/>
          <w:szCs w:val="22"/>
        </w:rPr>
        <w:t xml:space="preserve">Absence de validation des données</w:t>
      </w:r>
    </w:p>
    <w:p>
      <w:pPr>
        <w:pStyle w:val="ListParagraph"/>
        <w:numPr>
          <w:ilvl w:val="0"/>
          <w:numId w:val="2"/>
        </w:numPr>
        <w:spacing w:after="80"/>
      </w:pPr>
      <w:r>
        <w:rPr>
          <w:rFonts w:ascii="Arial" w:cs="Arial" w:eastAsia="Arial" w:hAnsi="Arial"/>
          <w:sz w:val="22"/>
          <w:szCs w:val="22"/>
        </w:rPr>
        <w:t xml:space="preserve">Calculs manuels sources d'erreurs</w:t>
      </w:r>
    </w:p>
    <w:p>
      <w:pPr>
        <w:pStyle w:val="ListParagraph"/>
        <w:numPr>
          <w:ilvl w:val="0"/>
          <w:numId w:val="2"/>
        </w:numPr>
        <w:spacing w:after="80"/>
      </w:pPr>
      <w:r>
        <w:rPr>
          <w:rFonts w:ascii="Arial" w:cs="Arial" w:eastAsia="Arial" w:hAnsi="Arial"/>
          <w:sz w:val="22"/>
          <w:szCs w:val="22"/>
        </w:rPr>
        <w:t xml:space="preserve">Impossibilité de consolider les données multi-chercheurs</w:t>
      </w:r>
    </w:p>
    <w:p>
      <w:pPr>
        <w:pStyle w:val="ListParagraph"/>
        <w:numPr>
          <w:ilvl w:val="0"/>
          <w:numId w:val="2"/>
        </w:numPr>
        <w:spacing w:after="80"/>
      </w:pPr>
      <w:r>
        <w:rPr>
          <w:rFonts w:ascii="Arial" w:cs="Arial" w:eastAsia="Arial" w:hAnsi="Arial"/>
          <w:sz w:val="22"/>
          <w:szCs w:val="22"/>
        </w:rPr>
        <w:t xml:space="preserve">Aucune gestion des droits d'accès</w:t>
      </w:r>
    </w:p>
    <w:p>
      <w:pPr>
        <w:pStyle w:val="ListParagraph"/>
        <w:numPr>
          <w:ilvl w:val="0"/>
          <w:numId w:val="2"/>
        </w:numPr>
        <w:spacing w:after="80"/>
      </w:pPr>
      <w:r>
        <w:rPr>
          <w:rFonts w:ascii="Arial" w:cs="Arial" w:eastAsia="Arial" w:hAnsi="Arial"/>
          <w:sz w:val="22"/>
          <w:szCs w:val="22"/>
        </w:rPr>
        <w:t xml:space="preserve">Pas d'historique ni de traçabilité</w:t>
      </w:r>
    </w:p>
    <w:p>
      <w:pPr>
        <w:pStyle w:val="ListParagraph"/>
        <w:numPr>
          <w:ilvl w:val="0"/>
          <w:numId w:val="2"/>
        </w:numPr>
        <w:spacing w:after="80"/>
      </w:pPr>
      <w:r>
        <w:rPr>
          <w:rFonts w:ascii="Arial" w:cs="Arial" w:eastAsia="Arial" w:hAnsi="Arial"/>
          <w:sz w:val="22"/>
          <w:szCs w:val="22"/>
        </w:rPr>
        <w:t xml:space="preserve">Impossibilité de générer des rapports dynamiques</w:t>
      </w:r>
    </w:p>
    <w:p>
      <w:pPr>
        <w:pStyle w:val="Heading2"/>
        <w:pBdr>
          <w:bottom w:val="single" w:color="00843D" w:sz="6"/>
        </w:pBdr>
        <w:spacing w:after="120" w:before="300"/>
      </w:pPr>
      <w:r>
        <w:rPr>
          <w:rFonts w:ascii="Arial" w:cs="Arial" w:eastAsia="Arial" w:hAnsi="Arial"/>
          <w:b/>
          <w:bCs/>
          <w:color w:val="1A2B4A"/>
          <w:sz w:val="24"/>
          <w:szCs w:val="24"/>
        </w:rPr>
        <w:t xml:space="preserve">1.3 Objectifs de la plateforme</w:t>
      </w:r>
    </w:p>
    <w:p>
      <w:pPr>
        <w:spacing w:after="120"/>
        <w:ind w:left="0"/>
      </w:pPr>
      <w:r>
        <w:rPr>
          <w:rFonts w:ascii="Arial" w:cs="Arial" w:eastAsia="Arial" w:hAnsi="Arial"/>
          <w:sz w:val="22"/>
          <w:szCs w:val="22"/>
        </w:rPr>
        <w:t xml:space="preserve">La présente plateforme vise à numériser, automatiser et centraliser l'ensemble des activités de recherche et académiques des chercheurs dans une application web institutionnelle moderne. Les objectifs principaux sont :</w:t>
      </w:r>
    </w:p>
    <w:p>
      <w:pPr>
        <w:pStyle w:val="ListParagraph"/>
        <w:numPr>
          <w:ilvl w:val="0"/>
          <w:numId w:val="2"/>
        </w:numPr>
        <w:spacing w:after="80"/>
      </w:pPr>
      <w:r>
        <w:rPr>
          <w:rFonts w:ascii="Arial" w:cs="Arial" w:eastAsia="Arial" w:hAnsi="Arial"/>
          <w:sz w:val="22"/>
          <w:szCs w:val="22"/>
        </w:rPr>
        <w:t xml:space="preserve">Centraliser toutes les activités dans une seule source de vérité</w:t>
      </w:r>
    </w:p>
    <w:p>
      <w:pPr>
        <w:pStyle w:val="ListParagraph"/>
        <w:numPr>
          <w:ilvl w:val="0"/>
          <w:numId w:val="2"/>
        </w:numPr>
        <w:spacing w:after="80"/>
      </w:pPr>
      <w:r>
        <w:rPr>
          <w:rFonts w:ascii="Arial" w:cs="Arial" w:eastAsia="Arial" w:hAnsi="Arial"/>
          <w:sz w:val="22"/>
          <w:szCs w:val="22"/>
        </w:rPr>
        <w:t xml:space="preserve">Éliminer la redondance de saisie et les erreurs manuelles</w:t>
      </w:r>
    </w:p>
    <w:p>
      <w:pPr>
        <w:pStyle w:val="ListParagraph"/>
        <w:numPr>
          <w:ilvl w:val="0"/>
          <w:numId w:val="2"/>
        </w:numPr>
        <w:spacing w:after="80"/>
      </w:pPr>
      <w:r>
        <w:rPr>
          <w:rFonts w:ascii="Arial" w:cs="Arial" w:eastAsia="Arial" w:hAnsi="Arial"/>
          <w:sz w:val="22"/>
          <w:szCs w:val="22"/>
        </w:rPr>
        <w:t xml:space="preserve">Calculer automatiquement tous les indicateurs de performance (KPI)</w:t>
      </w:r>
    </w:p>
    <w:p>
      <w:pPr>
        <w:pStyle w:val="ListParagraph"/>
        <w:numPr>
          <w:ilvl w:val="0"/>
          <w:numId w:val="2"/>
        </w:numPr>
        <w:spacing w:after="80"/>
      </w:pPr>
      <w:r>
        <w:rPr>
          <w:rFonts w:ascii="Arial" w:cs="Arial" w:eastAsia="Arial" w:hAnsi="Arial"/>
          <w:sz w:val="22"/>
          <w:szCs w:val="22"/>
        </w:rPr>
        <w:t xml:space="preserve">Offrir des tableaux de bord dynamiques et exportables</w:t>
      </w:r>
    </w:p>
    <w:p>
      <w:pPr>
        <w:pStyle w:val="ListParagraph"/>
        <w:numPr>
          <w:ilvl w:val="0"/>
          <w:numId w:val="2"/>
        </w:numPr>
        <w:spacing w:after="80"/>
      </w:pPr>
      <w:r>
        <w:rPr>
          <w:rFonts w:ascii="Arial" w:cs="Arial" w:eastAsia="Arial" w:hAnsi="Arial"/>
          <w:sz w:val="22"/>
          <w:szCs w:val="22"/>
        </w:rPr>
        <w:t xml:space="preserve">Faciliter le suivi individuel et institutionnel de la performance scientifique</w:t>
      </w:r>
    </w:p>
    <w:p>
      <w:pPr>
        <w:pStyle w:val="ListParagraph"/>
        <w:numPr>
          <w:ilvl w:val="0"/>
          <w:numId w:val="2"/>
        </w:numPr>
        <w:spacing w:after="80"/>
      </w:pPr>
      <w:r>
        <w:rPr>
          <w:rFonts w:ascii="Arial" w:cs="Arial" w:eastAsia="Arial" w:hAnsi="Arial"/>
          <w:sz w:val="22"/>
          <w:szCs w:val="22"/>
        </w:rPr>
        <w:t xml:space="preserve">Permettre la gestion des prévisions et le suivi des écarts</w:t>
      </w:r>
    </w:p>
    <w:p>
      <w:pPr>
        <w:pStyle w:val="ListParagraph"/>
        <w:numPr>
          <w:ilvl w:val="0"/>
          <w:numId w:val="2"/>
        </w:numPr>
        <w:spacing w:after="80"/>
      </w:pPr>
      <w:r>
        <w:rPr>
          <w:rFonts w:ascii="Arial" w:cs="Arial" w:eastAsia="Arial" w:hAnsi="Arial"/>
          <w:sz w:val="22"/>
          <w:szCs w:val="22"/>
        </w:rPr>
        <w:t xml:space="preserve">Produire des rapports institutionnels automatisés</w:t>
      </w:r>
    </w:p>
    <w:p>
      <w:r>
        <w:br w:type="page"/>
      </w:r>
    </w:p>
    <w:p>
      <w:pPr>
        <w:pStyle w:val="Heading1"/>
        <w:shd w:fill="1A2B4A" w:val="clear"/>
        <w:spacing w:after="200" w:before="400"/>
        <w:ind w:left="200" w:right="200"/>
      </w:pPr>
      <w:r>
        <w:rPr>
          <w:rFonts w:ascii="Arial" w:cs="Arial" w:eastAsia="Arial" w:hAnsi="Arial"/>
          <w:b/>
          <w:bCs/>
          <w:color w:val="FFFFFF"/>
          <w:sz w:val="28"/>
          <w:szCs w:val="28"/>
        </w:rPr>
        <w:t xml:space="preserve">2. Architecture Générale</w:t>
      </w:r>
    </w:p>
    <w:p>
      <w:pPr>
        <w:pStyle w:val="Heading2"/>
        <w:pBdr>
          <w:bottom w:val="single" w:color="00843D" w:sz="6"/>
        </w:pBdr>
        <w:spacing w:after="120" w:before="300"/>
      </w:pPr>
      <w:r>
        <w:rPr>
          <w:rFonts w:ascii="Arial" w:cs="Arial" w:eastAsia="Arial" w:hAnsi="Arial"/>
          <w:b/>
          <w:bCs/>
          <w:color w:val="1A2B4A"/>
          <w:sz w:val="24"/>
          <w:szCs w:val="24"/>
        </w:rPr>
        <w:t xml:space="preserve">2.1 Vue d'ensemble</w:t>
      </w:r>
    </w:p>
    <w:p>
      <w:pPr>
        <w:spacing w:after="120"/>
        <w:ind w:left="0"/>
      </w:pPr>
      <w:r>
        <w:rPr>
          <w:rFonts w:ascii="Arial" w:cs="Arial" w:eastAsia="Arial" w:hAnsi="Arial"/>
          <w:sz w:val="22"/>
          <w:szCs w:val="22"/>
        </w:rPr>
        <w:t xml:space="preserve">La plateforme est architecturée selon le modèle moderne SaaS (Software as a Service) avec une séparation claire entre le frontend, le backend et la couche de données. Cette approche garantit la scalabilité, la maintenabilité et la sécurité.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5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5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Frontend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TypeScript + Vite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utilisateur moderne et réactive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Styling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TailwindCSS + palette UM6P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institutionnel cohérent</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État applicatif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 + React Query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 d'état et synchronisation des données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Backend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données relationnelle normalisée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Authentification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sécurisé, gestion des sessions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Stockage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 et pièces jointes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Déploiement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 mondial, HTTPS automatique, CI/CD</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Code source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Versioning, collaboration, historique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Internationalisation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i18next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bilingue FR / EN</w:t>
            </w:r>
          </w:p>
        </w:tc>
      </w:tr>
    </w:tbl>
    <w:p>
      <w:pPr>
        <w:spacing w:after="200"/>
      </w:pPr>
    </w:p>
    <w:p>
      <w:pPr>
        <w:pStyle w:val="Heading2"/>
        <w:pBdr>
          <w:bottom w:val="single" w:color="00843D" w:sz="6"/>
        </w:pBdr>
        <w:spacing w:after="120" w:before="300"/>
      </w:pPr>
      <w:r>
        <w:rPr>
          <w:rFonts w:ascii="Arial" w:cs="Arial" w:eastAsia="Arial" w:hAnsi="Arial"/>
          <w:b/>
          <w:bCs/>
          <w:color w:val="1A2B4A"/>
          <w:sz w:val="24"/>
          <w:szCs w:val="24"/>
        </w:rPr>
        <w:t xml:space="preserve">2.2 Principes architecturaux</w:t>
      </w:r>
    </w:p>
    <w:p>
      <w:pPr>
        <w:pStyle w:val="ListParagraph"/>
        <w:numPr>
          <w:ilvl w:val="0"/>
          <w:numId w:val="2"/>
        </w:numPr>
        <w:spacing w:after="80"/>
      </w:pPr>
      <w:r>
        <w:rPr>
          <w:rFonts w:ascii="Arial" w:cs="Arial" w:eastAsia="Arial" w:hAnsi="Arial"/>
          <w:sz w:val="22"/>
          <w:szCs w:val="22"/>
        </w:rPr>
        <w:t xml:space="preserve">Données centralisées : une seule base de données PostgreSQL alimentant tous les modules</w:t>
      </w:r>
    </w:p>
    <w:p>
      <w:pPr>
        <w:pStyle w:val="ListParagraph"/>
        <w:numPr>
          <w:ilvl w:val="0"/>
          <w:numId w:val="2"/>
        </w:numPr>
        <w:spacing w:after="80"/>
      </w:pPr>
      <w:r>
        <w:rPr>
          <w:rFonts w:ascii="Arial" w:cs="Arial" w:eastAsia="Arial" w:hAnsi="Arial"/>
          <w:sz w:val="22"/>
          <w:szCs w:val="22"/>
        </w:rPr>
        <w:t xml:space="preserve">Calculs automatiques : aucun KPI ne nécessite de saisie manuelle — tout est calculé à partir des données réelles</w:t>
      </w:r>
    </w:p>
    <w:p>
      <w:pPr>
        <w:pStyle w:val="ListParagraph"/>
        <w:numPr>
          <w:ilvl w:val="0"/>
          <w:numId w:val="2"/>
        </w:numPr>
        <w:spacing w:after="80"/>
      </w:pPr>
      <w:r>
        <w:rPr>
          <w:rFonts w:ascii="Arial" w:cs="Arial" w:eastAsia="Arial" w:hAnsi="Arial"/>
          <w:sz w:val="22"/>
          <w:szCs w:val="22"/>
        </w:rPr>
        <w:t xml:space="preserve">Sécurité Row Level Security : chaque utilisateur ne voit que ses propres données</w:t>
      </w:r>
    </w:p>
    <w:p>
      <w:pPr>
        <w:pStyle w:val="ListParagraph"/>
        <w:numPr>
          <w:ilvl w:val="0"/>
          <w:numId w:val="2"/>
        </w:numPr>
        <w:spacing w:after="80"/>
      </w:pPr>
      <w:r>
        <w:rPr>
          <w:rFonts w:ascii="Arial" w:cs="Arial" w:eastAsia="Arial" w:hAnsi="Arial"/>
          <w:sz w:val="22"/>
          <w:szCs w:val="22"/>
        </w:rPr>
        <w:t xml:space="preserve">Temps réel : les tableaux de bord se mettent à jour instantanément après chaque saisie</w:t>
      </w:r>
    </w:p>
    <w:p>
      <w:pPr>
        <w:pStyle w:val="ListParagraph"/>
        <w:numPr>
          <w:ilvl w:val="0"/>
          <w:numId w:val="2"/>
        </w:numPr>
        <w:spacing w:after="80"/>
      </w:pPr>
      <w:r>
        <w:rPr>
          <w:rFonts w:ascii="Arial" w:cs="Arial" w:eastAsia="Arial" w:hAnsi="Arial"/>
          <w:sz w:val="22"/>
          <w:szCs w:val="22"/>
        </w:rPr>
        <w:t xml:space="preserve">Traçabilité complète : horodatage de chaque création et modification</w:t>
      </w:r>
    </w:p>
    <w:p>
      <w:r>
        <w:br w:type="page"/>
      </w:r>
    </w:p>
    <w:p>
      <w:pPr>
        <w:pStyle w:val="Heading1"/>
        <w:shd w:fill="1A2B4A" w:val="clear"/>
        <w:spacing w:after="200" w:before="400"/>
        <w:ind w:left="200" w:right="200"/>
      </w:pPr>
      <w:r>
        <w:rPr>
          <w:rFonts w:ascii="Arial" w:cs="Arial" w:eastAsia="Arial" w:hAnsi="Arial"/>
          <w:b/>
          <w:bCs/>
          <w:color w:val="FFFFFF"/>
          <w:sz w:val="28"/>
          <w:szCs w:val="28"/>
        </w:rPr>
        <w:t xml:space="preserve">3. Modules Fonctionnels</w:t>
      </w:r>
    </w:p>
    <w:p>
      <w:pPr>
        <w:spacing w:after="120"/>
        <w:ind w:left="0"/>
      </w:pPr>
      <w:r>
        <w:rPr>
          <w:rFonts w:ascii="Arial" w:cs="Arial" w:eastAsia="Arial" w:hAnsi="Arial"/>
          <w:sz w:val="22"/>
          <w:szCs w:val="22"/>
        </w:rPr>
        <w:t xml:space="preserve">La plateforme est structurée en 13 modules interdépendants. Chaque module alimente automatiquement le tableau de bord et les indicateurs de performance.</w:t>
      </w:r>
    </w:p>
    <w:p>
      <w:pPr>
        <w:pStyle w:val="Heading2"/>
        <w:pBdr>
          <w:bottom w:val="single" w:color="00843D" w:sz="6"/>
        </w:pBdr>
        <w:spacing w:after="120" w:before="300"/>
      </w:pPr>
      <w:r>
        <w:rPr>
          <w:rFonts w:ascii="Arial" w:cs="Arial" w:eastAsia="Arial" w:hAnsi="Arial"/>
          <w:b/>
          <w:bCs/>
          <w:color w:val="1A2B4A"/>
          <w:sz w:val="24"/>
          <w:szCs w:val="24"/>
        </w:rPr>
        <w:t xml:space="preserve">3.1 Authentification et Gestion des Comptes</w:t>
      </w:r>
    </w:p>
    <w:p>
      <w:pPr>
        <w:spacing w:after="120"/>
        <w:ind w:left="0"/>
      </w:pPr>
      <w:r>
        <w:rPr>
          <w:rFonts w:ascii="Arial" w:cs="Arial" w:eastAsia="Arial" w:hAnsi="Arial"/>
          <w:sz w:val="22"/>
          <w:szCs w:val="22"/>
        </w:rPr>
        <w:t xml:space="preserve">Le module d'authentification est géré par Supabase Auth (JWT). Il permet :</w:t>
      </w:r>
    </w:p>
    <w:p>
      <w:pPr>
        <w:pStyle w:val="ListParagraph"/>
        <w:numPr>
          <w:ilvl w:val="0"/>
          <w:numId w:val="2"/>
        </w:numPr>
        <w:spacing w:after="80"/>
      </w:pPr>
      <w:r>
        <w:rPr>
          <w:rFonts w:ascii="Arial" w:cs="Arial" w:eastAsia="Arial" w:hAnsi="Arial"/>
          <w:sz w:val="22"/>
          <w:szCs w:val="22"/>
        </w:rPr>
        <w:t xml:space="preserve">Inscription par email et mot de passe</w:t>
      </w:r>
    </w:p>
    <w:p>
      <w:pPr>
        <w:pStyle w:val="ListParagraph"/>
        <w:numPr>
          <w:ilvl w:val="0"/>
          <w:numId w:val="2"/>
        </w:numPr>
        <w:spacing w:after="80"/>
      </w:pPr>
      <w:r>
        <w:rPr>
          <w:rFonts w:ascii="Arial" w:cs="Arial" w:eastAsia="Arial" w:hAnsi="Arial"/>
          <w:sz w:val="22"/>
          <w:szCs w:val="22"/>
        </w:rPr>
        <w:t xml:space="preserve">Connexion sécurisée avec session persistante</w:t>
      </w:r>
    </w:p>
    <w:p>
      <w:pPr>
        <w:pStyle w:val="ListParagraph"/>
        <w:numPr>
          <w:ilvl w:val="0"/>
          <w:numId w:val="2"/>
        </w:numPr>
        <w:spacing w:after="80"/>
      </w:pPr>
      <w:r>
        <w:rPr>
          <w:rFonts w:ascii="Arial" w:cs="Arial" w:eastAsia="Arial" w:hAnsi="Arial"/>
          <w:sz w:val="22"/>
          <w:szCs w:val="22"/>
        </w:rPr>
        <w:t xml:space="preserve">Gestion des rôles : Chercheur, Administrateur, Observateur</w:t>
      </w:r>
    </w:p>
    <w:p>
      <w:pPr>
        <w:pStyle w:val="ListParagraph"/>
        <w:numPr>
          <w:ilvl w:val="0"/>
          <w:numId w:val="2"/>
        </w:numPr>
        <w:spacing w:after="80"/>
      </w:pPr>
      <w:r>
        <w:rPr>
          <w:rFonts w:ascii="Arial" w:cs="Arial" w:eastAsia="Arial" w:hAnsi="Arial"/>
          <w:sz w:val="22"/>
          <w:szCs w:val="22"/>
        </w:rPr>
        <w:t xml:space="preserve">Déconnexion et expiration automatique des sessions</w:t>
      </w:r>
    </w:p>
    <w:p>
      <w:pPr>
        <w:pStyle w:val="ListParagraph"/>
        <w:numPr>
          <w:ilvl w:val="0"/>
          <w:numId w:val="2"/>
        </w:numPr>
        <w:spacing w:after="80"/>
      </w:pPr>
      <w:r>
        <w:rPr>
          <w:rFonts w:ascii="Arial" w:cs="Arial" w:eastAsia="Arial" w:hAnsi="Arial"/>
          <w:sz w:val="22"/>
          <w:szCs w:val="22"/>
        </w:rPr>
        <w:t xml:space="preserve">Récupération de mot de passe par email</w:t>
      </w:r>
    </w:p>
    <w:p>
      <w:pPr>
        <w:pStyle w:val="Heading2"/>
        <w:pBdr>
          <w:bottom w:val="single" w:color="00843D" w:sz="6"/>
        </w:pBdr>
        <w:spacing w:after="120" w:before="300"/>
      </w:pPr>
      <w:r>
        <w:rPr>
          <w:rFonts w:ascii="Arial" w:cs="Arial" w:eastAsia="Arial" w:hAnsi="Arial"/>
          <w:b/>
          <w:bCs/>
          <w:color w:val="1A2B4A"/>
          <w:sz w:val="24"/>
          <w:szCs w:val="24"/>
        </w:rPr>
        <w:t xml:space="preserve">3.2 Tableau de Bord (Dashboard)</w:t>
      </w:r>
    </w:p>
    <w:p>
      <w:pPr>
        <w:spacing w:after="120"/>
        <w:ind w:left="0"/>
      </w:pPr>
      <w:r>
        <w:rPr>
          <w:rFonts w:ascii="Arial" w:cs="Arial" w:eastAsia="Arial" w:hAnsi="Arial"/>
          <w:sz w:val="22"/>
          <w:szCs w:val="22"/>
        </w:rPr>
        <w:t xml:space="preserve">Le tableau de bord est le centre névralgique de la plateforme. Il affiche en temps réel une synthèse de toutes les activités du chercheur connecté.</w:t>
      </w:r>
    </w:p>
    <w:p>
      <w:pPr>
        <w:spacing w:after="120"/>
        <w:ind w:left="0"/>
      </w:pPr>
      <w:r>
        <w:rPr>
          <w:rFonts w:ascii="Arial" w:cs="Arial" w:eastAsia="Arial" w:hAnsi="Arial"/>
          <w:sz w:val="22"/>
          <w:szCs w:val="22"/>
        </w:rPr>
        <w:t xml:space="preserve">Fonctionnalités principales :</w:t>
      </w:r>
    </w:p>
    <w:p>
      <w:pPr>
        <w:pStyle w:val="ListParagraph"/>
        <w:numPr>
          <w:ilvl w:val="0"/>
          <w:numId w:val="2"/>
        </w:numPr>
        <w:spacing w:after="80"/>
      </w:pPr>
      <w:r>
        <w:rPr>
          <w:rFonts w:ascii="Arial" w:cs="Arial" w:eastAsia="Arial" w:hAnsi="Arial"/>
          <w:sz w:val="22"/>
          <w:szCs w:val="22"/>
        </w:rPr>
        <w:t xml:space="preserve">23 KPI calculés automatiquement répartis en 6 catégories thématiques</w:t>
      </w:r>
    </w:p>
    <w:p>
      <w:pPr>
        <w:pStyle w:val="ListParagraph"/>
        <w:numPr>
          <w:ilvl w:val="0"/>
          <w:numId w:val="2"/>
        </w:numPr>
        <w:spacing w:after="80"/>
      </w:pPr>
      <w:r>
        <w:rPr>
          <w:rFonts w:ascii="Arial" w:cs="Arial" w:eastAsia="Arial" w:hAnsi="Arial"/>
          <w:sz w:val="22"/>
          <w:szCs w:val="22"/>
        </w:rPr>
        <w:t xml:space="preserve">Filtre par année académique (sélecteur dans l'en-tête)</w:t>
      </w:r>
    </w:p>
    <w:p>
      <w:pPr>
        <w:pStyle w:val="ListParagraph"/>
        <w:numPr>
          <w:ilvl w:val="0"/>
          <w:numId w:val="2"/>
        </w:numPr>
        <w:spacing w:after="80"/>
      </w:pPr>
      <w:r>
        <w:rPr>
          <w:rFonts w:ascii="Arial" w:cs="Arial" w:eastAsia="Arial" w:hAnsi="Arial"/>
          <w:sz w:val="22"/>
          <w:szCs w:val="22"/>
        </w:rPr>
        <w:t xml:space="preserve">Graphique d'évolution des publications sur 5 ans</w:t>
      </w:r>
    </w:p>
    <w:p>
      <w:pPr>
        <w:pStyle w:val="ListParagraph"/>
        <w:numPr>
          <w:ilvl w:val="0"/>
          <w:numId w:val="2"/>
        </w:numPr>
        <w:spacing w:after="80"/>
      </w:pPr>
      <w:r>
        <w:rPr>
          <w:rFonts w:ascii="Arial" w:cs="Arial" w:eastAsia="Arial" w:hAnsi="Arial"/>
          <w:sz w:val="22"/>
          <w:szCs w:val="22"/>
        </w:rPr>
        <w:t xml:space="preserve">Graphique prévisions vs réalisations par catégorie</w:t>
      </w:r>
    </w:p>
    <w:p>
      <w:pPr>
        <w:pStyle w:val="ListParagraph"/>
        <w:numPr>
          <w:ilvl w:val="0"/>
          <w:numId w:val="2"/>
        </w:numPr>
        <w:spacing w:after="80"/>
      </w:pPr>
      <w:r>
        <w:rPr>
          <w:rFonts w:ascii="Arial" w:cs="Arial" w:eastAsia="Arial" w:hAnsi="Arial"/>
          <w:sz w:val="22"/>
          <w:szCs w:val="22"/>
        </w:rPr>
        <w:t xml:space="preserve">Graphique répartition du budget projets</w:t>
      </w:r>
    </w:p>
    <w:p>
      <w:pPr>
        <w:pStyle w:val="ListParagraph"/>
        <w:numPr>
          <w:ilvl w:val="0"/>
          <w:numId w:val="2"/>
        </w:numPr>
        <w:spacing w:after="80"/>
      </w:pPr>
      <w:r>
        <w:rPr>
          <w:rFonts w:ascii="Arial" w:cs="Arial" w:eastAsia="Arial" w:hAnsi="Arial"/>
          <w:sz w:val="22"/>
          <w:szCs w:val="22"/>
        </w:rPr>
        <w:t xml:space="preserve">Timeline des activités récentes</w:t>
      </w:r>
    </w:p>
    <w:p>
      <w:pPr>
        <w:pStyle w:val="ListParagraph"/>
        <w:numPr>
          <w:ilvl w:val="0"/>
          <w:numId w:val="2"/>
        </w:numPr>
        <w:spacing w:after="80"/>
      </w:pPr>
      <w:r>
        <w:rPr>
          <w:rFonts w:ascii="Arial" w:cs="Arial" w:eastAsia="Arial" w:hAnsi="Arial"/>
          <w:sz w:val="22"/>
          <w:szCs w:val="22"/>
        </w:rPr>
        <w:t xml:space="preserve">Export du tableau de bord en PDF ou Excel</w:t>
      </w:r>
    </w:p>
    <w:p>
      <w:pPr>
        <w:pStyle w:val="Heading2"/>
        <w:pBdr>
          <w:bottom w:val="single" w:color="00843D" w:sz="6"/>
        </w:pBdr>
        <w:spacing w:after="120" w:before="300"/>
      </w:pPr>
      <w:r>
        <w:rPr>
          <w:rFonts w:ascii="Arial" w:cs="Arial" w:eastAsia="Arial" w:hAnsi="Arial"/>
          <w:b/>
          <w:bCs/>
          <w:color w:val="1A2B4A"/>
          <w:sz w:val="24"/>
          <w:szCs w:val="24"/>
        </w:rPr>
        <w:t xml:space="preserve">3.3 Publications Scientifiques</w:t>
      </w:r>
    </w:p>
    <w:p>
      <w:pPr>
        <w:spacing w:after="120"/>
        <w:ind w:left="0"/>
      </w:pPr>
      <w:r>
        <w:rPr>
          <w:rFonts w:ascii="Arial" w:cs="Arial" w:eastAsia="Arial" w:hAnsi="Arial"/>
          <w:sz w:val="22"/>
          <w:szCs w:val="22"/>
        </w:rPr>
        <w:t xml:space="preserve">Ce module permet la saisie et le suivi exhaustif de toutes les productions scientifiques publiées.</w:t>
      </w:r>
    </w:p>
    <w:p>
      <w:pPr>
        <w:pStyle w:val="Heading3"/>
        <w:spacing w:after="80" w:before="200"/>
      </w:pPr>
      <w:r>
        <w:rPr>
          <w:rFonts w:ascii="Arial" w:cs="Arial" w:eastAsia="Arial" w:hAnsi="Arial"/>
          <w:b/>
          <w:bCs/>
          <w:color w:val="00843D"/>
          <w:sz w:val="22"/>
          <w:szCs w:val="22"/>
        </w:rPr>
        <w:t xml:space="preserve">Types de publications supportés</w:t>
      </w:r>
    </w:p>
    <w:p>
      <w:pPr>
        <w:pStyle w:val="ListParagraph"/>
        <w:numPr>
          <w:ilvl w:val="0"/>
          <w:numId w:val="2"/>
        </w:numPr>
        <w:spacing w:after="80"/>
      </w:pPr>
      <w:r>
        <w:rPr>
          <w:rFonts w:ascii="Arial" w:cs="Arial" w:eastAsia="Arial" w:hAnsi="Arial"/>
          <w:sz w:val="22"/>
          <w:szCs w:val="22"/>
        </w:rPr>
        <w:t xml:space="preserve">Articles dans des revues scientifiques indexées</w:t>
      </w:r>
    </w:p>
    <w:p>
      <w:pPr>
        <w:pStyle w:val="ListParagraph"/>
        <w:numPr>
          <w:ilvl w:val="0"/>
          <w:numId w:val="2"/>
        </w:numPr>
        <w:spacing w:after="80"/>
      </w:pPr>
      <w:r>
        <w:rPr>
          <w:rFonts w:ascii="Arial" w:cs="Arial" w:eastAsia="Arial" w:hAnsi="Arial"/>
          <w:sz w:val="22"/>
          <w:szCs w:val="22"/>
        </w:rPr>
        <w:t xml:space="preserve">Actes de conférences (proceedings)</w:t>
      </w:r>
    </w:p>
    <w:p>
      <w:pPr>
        <w:pStyle w:val="ListParagraph"/>
        <w:numPr>
          <w:ilvl w:val="0"/>
          <w:numId w:val="2"/>
        </w:numPr>
        <w:spacing w:after="80"/>
      </w:pPr>
      <w:r>
        <w:rPr>
          <w:rFonts w:ascii="Arial" w:cs="Arial" w:eastAsia="Arial" w:hAnsi="Arial"/>
          <w:sz w:val="22"/>
          <w:szCs w:val="22"/>
        </w:rPr>
        <w:t xml:space="preserve">Chapitres de livres</w:t>
      </w:r>
    </w:p>
    <w:p>
      <w:pPr>
        <w:pStyle w:val="ListParagraph"/>
        <w:numPr>
          <w:ilvl w:val="0"/>
          <w:numId w:val="2"/>
        </w:numPr>
        <w:spacing w:after="80"/>
      </w:pPr>
      <w:r>
        <w:rPr>
          <w:rFonts w:ascii="Arial" w:cs="Arial" w:eastAsia="Arial" w:hAnsi="Arial"/>
          <w:sz w:val="22"/>
          <w:szCs w:val="22"/>
        </w:rPr>
        <w:t xml:space="preserve">Livres et ouvrages</w:t>
      </w:r>
    </w:p>
    <w:p>
      <w:pPr>
        <w:pStyle w:val="ListParagraph"/>
        <w:numPr>
          <w:ilvl w:val="0"/>
          <w:numId w:val="2"/>
        </w:numPr>
        <w:spacing w:after="80"/>
      </w:pPr>
      <w:r>
        <w:rPr>
          <w:rFonts w:ascii="Arial" w:cs="Arial" w:eastAsia="Arial" w:hAnsi="Arial"/>
          <w:sz w:val="22"/>
          <w:szCs w:val="22"/>
        </w:rPr>
        <w:t xml:space="preserve">Rapports de recherche</w:t>
      </w:r>
    </w:p>
    <w:p>
      <w:pPr>
        <w:pStyle w:val="ListParagraph"/>
        <w:numPr>
          <w:ilvl w:val="0"/>
          <w:numId w:val="2"/>
        </w:numPr>
        <w:spacing w:after="80"/>
      </w:pPr>
      <w:r>
        <w:rPr>
          <w:rFonts w:ascii="Arial" w:cs="Arial" w:eastAsia="Arial" w:hAnsi="Arial"/>
          <w:sz w:val="22"/>
          <w:szCs w:val="22"/>
        </w:rPr>
        <w:t xml:space="preserve">Thèses et mémoires</w:t>
      </w:r>
    </w:p>
    <w:p>
      <w:pPr>
        <w:pStyle w:val="ListParagraph"/>
        <w:numPr>
          <w:ilvl w:val="0"/>
          <w:numId w:val="2"/>
        </w:numPr>
        <w:spacing w:after="80"/>
      </w:pPr>
      <w:r>
        <w:rPr>
          <w:rFonts w:ascii="Arial" w:cs="Arial" w:eastAsia="Arial" w:hAnsi="Arial"/>
          <w:sz w:val="22"/>
          <w:szCs w:val="22"/>
        </w:rPr>
        <w:t xml:space="preserve">Autres productions</w:t>
      </w:r>
    </w:p>
    <w:p>
      <w:pPr>
        <w:pStyle w:val="Heading3"/>
        <w:spacing w:after="80" w:before="200"/>
      </w:pPr>
      <w:r>
        <w:rPr>
          <w:rFonts w:ascii="Arial" w:cs="Arial" w:eastAsia="Arial" w:hAnsi="Arial"/>
          <w:b/>
          <w:bCs/>
          <w:color w:val="00843D"/>
          <w:sz w:val="22"/>
          <w:szCs w:val="22"/>
        </w:rPr>
        <w:t xml:space="preserve">Fonctionnalités avancées</w:t>
      </w:r>
    </w:p>
    <w:p>
      <w:pPr>
        <w:pStyle w:val="ListParagraph"/>
        <w:numPr>
          <w:ilvl w:val="0"/>
          <w:numId w:val="2"/>
        </w:numPr>
        <w:spacing w:after="80"/>
      </w:pPr>
      <w:r>
        <w:rPr>
          <w:rFonts w:ascii="Arial" w:cs="Arial" w:eastAsia="Arial" w:hAnsi="Arial"/>
          <w:sz w:val="22"/>
          <w:szCs w:val="22"/>
        </w:rPr>
        <w:t xml:space="preserve">Auto-remplissage via DOI : saisir le DOI d'un article lance automatiquement une requête à l'API Crossref pour récupérer le titre, les auteurs, la revue, l'année, le volume et les pages</w:t>
      </w:r>
    </w:p>
    <w:p>
      <w:pPr>
        <w:pStyle w:val="ListParagraph"/>
        <w:numPr>
          <w:ilvl w:val="0"/>
          <w:numId w:val="2"/>
        </w:numPr>
        <w:spacing w:after="80"/>
      </w:pPr>
      <w:r>
        <w:rPr>
          <w:rFonts w:ascii="Arial" w:cs="Arial" w:eastAsia="Arial" w:hAnsi="Arial"/>
          <w:sz w:val="22"/>
          <w:szCs w:val="22"/>
        </w:rPr>
        <w:t xml:space="preserve">Bases d'indexation : Scopus, Web of Science, PubMed, DBLP, DOAJ</w:t>
      </w:r>
    </w:p>
    <w:p>
      <w:pPr>
        <w:pStyle w:val="ListParagraph"/>
        <w:numPr>
          <w:ilvl w:val="0"/>
          <w:numId w:val="2"/>
        </w:numPr>
        <w:spacing w:after="80"/>
      </w:pPr>
      <w:r>
        <w:rPr>
          <w:rFonts w:ascii="Arial" w:cs="Arial" w:eastAsia="Arial" w:hAnsi="Arial"/>
          <w:sz w:val="22"/>
          <w:szCs w:val="22"/>
        </w:rPr>
        <w:t xml:space="preserve">Facteur d'impact et quartile (Q1 à Q4)</w:t>
      </w:r>
    </w:p>
    <w:p>
      <w:pPr>
        <w:pStyle w:val="ListParagraph"/>
        <w:numPr>
          <w:ilvl w:val="0"/>
          <w:numId w:val="2"/>
        </w:numPr>
        <w:spacing w:after="80"/>
      </w:pPr>
      <w:r>
        <w:rPr>
          <w:rFonts w:ascii="Arial" w:cs="Arial" w:eastAsia="Arial" w:hAnsi="Arial"/>
          <w:sz w:val="22"/>
          <w:szCs w:val="22"/>
        </w:rPr>
        <w:t xml:space="preserve">Suivi des citations</w:t>
      </w:r>
    </w:p>
    <w:p>
      <w:pPr>
        <w:pStyle w:val="ListParagraph"/>
        <w:numPr>
          <w:ilvl w:val="0"/>
          <w:numId w:val="2"/>
        </w:numPr>
        <w:spacing w:after="80"/>
      </w:pPr>
      <w:r>
        <w:rPr>
          <w:rFonts w:ascii="Arial" w:cs="Arial" w:eastAsia="Arial" w:hAnsi="Arial"/>
          <w:sz w:val="22"/>
          <w:szCs w:val="22"/>
        </w:rPr>
        <w:t xml:space="preserve">Indicateur d'affiliation UM6P</w:t>
      </w:r>
    </w:p>
    <w:p>
      <w:pPr>
        <w:pStyle w:val="Heading2"/>
        <w:pBdr>
          <w:bottom w:val="single" w:color="00843D" w:sz="6"/>
        </w:pBdr>
        <w:spacing w:after="120" w:before="300"/>
      </w:pPr>
      <w:r>
        <w:rPr>
          <w:rFonts w:ascii="Arial" w:cs="Arial" w:eastAsia="Arial" w:hAnsi="Arial"/>
          <w:b/>
          <w:bCs/>
          <w:color w:val="1A2B4A"/>
          <w:sz w:val="24"/>
          <w:szCs w:val="24"/>
        </w:rPr>
        <w:t xml:space="preserve">3.4 Projets de Recherche</w:t>
      </w:r>
    </w:p>
    <w:p>
      <w:pPr>
        <w:spacing w:after="120"/>
        <w:ind w:left="0"/>
      </w:pPr>
      <w:r>
        <w:rPr>
          <w:rFonts w:ascii="Arial" w:cs="Arial" w:eastAsia="Arial" w:hAnsi="Arial"/>
          <w:sz w:val="22"/>
          <w:szCs w:val="22"/>
        </w:rPr>
        <w:t xml:space="preserve">Ce module assure le suivi complet des projets de recherche en cours, planifiés et terminés.</w:t>
      </w:r>
    </w:p>
    <w:p>
      <w:pPr>
        <w:pStyle w:val="ListParagraph"/>
        <w:numPr>
          <w:ilvl w:val="0"/>
          <w:numId w:val="2"/>
        </w:numPr>
        <w:spacing w:after="80"/>
      </w:pPr>
      <w:r>
        <w:rPr>
          <w:rFonts w:ascii="Arial" w:cs="Arial" w:eastAsia="Arial" w:hAnsi="Arial"/>
          <w:sz w:val="22"/>
          <w:szCs w:val="22"/>
        </w:rPr>
        <w:t xml:space="preserve">Types : nationaux, internationaux, industriels, internes</w:t>
      </w:r>
    </w:p>
    <w:p>
      <w:pPr>
        <w:pStyle w:val="ListParagraph"/>
        <w:numPr>
          <w:ilvl w:val="0"/>
          <w:numId w:val="2"/>
        </w:numPr>
        <w:spacing w:after="80"/>
      </w:pPr>
      <w:r>
        <w:rPr>
          <w:rFonts w:ascii="Arial" w:cs="Arial" w:eastAsia="Arial" w:hAnsi="Arial"/>
          <w:sz w:val="22"/>
          <w:szCs w:val="22"/>
        </w:rPr>
        <w:t xml:space="preserve">Suivi budgétaire : budget total, part UM6P (calculée automatiquement)</w:t>
      </w:r>
    </w:p>
    <w:p>
      <w:pPr>
        <w:pStyle w:val="ListParagraph"/>
        <w:numPr>
          <w:ilvl w:val="0"/>
          <w:numId w:val="2"/>
        </w:numPr>
        <w:spacing w:after="80"/>
      </w:pPr>
      <w:r>
        <w:rPr>
          <w:rFonts w:ascii="Arial" w:cs="Arial" w:eastAsia="Arial" w:hAnsi="Arial"/>
          <w:sz w:val="22"/>
          <w:szCs w:val="22"/>
        </w:rPr>
        <w:t xml:space="preserve">Rôle du chercheur : PI, Co-PI, Partenaire, Collaborateur</w:t>
      </w:r>
    </w:p>
    <w:p>
      <w:pPr>
        <w:pStyle w:val="ListParagraph"/>
        <w:numPr>
          <w:ilvl w:val="0"/>
          <w:numId w:val="2"/>
        </w:numPr>
        <w:spacing w:after="80"/>
      </w:pPr>
      <w:r>
        <w:rPr>
          <w:rFonts w:ascii="Arial" w:cs="Arial" w:eastAsia="Arial" w:hAnsi="Arial"/>
          <w:sz w:val="22"/>
          <w:szCs w:val="22"/>
        </w:rPr>
        <w:t xml:space="preserve">Gestion de l'équipe et des partenaires</w:t>
      </w:r>
    </w:p>
    <w:p>
      <w:pPr>
        <w:pStyle w:val="ListParagraph"/>
        <w:numPr>
          <w:ilvl w:val="0"/>
          <w:numId w:val="2"/>
        </w:numPr>
        <w:spacing w:after="80"/>
      </w:pPr>
      <w:r>
        <w:rPr>
          <w:rFonts w:ascii="Arial" w:cs="Arial" w:eastAsia="Arial" w:hAnsi="Arial"/>
          <w:sz w:val="22"/>
          <w:szCs w:val="22"/>
        </w:rPr>
        <w:t xml:space="preserve">Statuts : planifié, en cours, terminé, suspendu, annulé</w:t>
      </w:r>
    </w:p>
    <w:p>
      <w:pPr>
        <w:pStyle w:val="ListParagraph"/>
        <w:numPr>
          <w:ilvl w:val="0"/>
          <w:numId w:val="2"/>
        </w:numPr>
        <w:spacing w:after="80"/>
      </w:pPr>
      <w:r>
        <w:rPr>
          <w:rFonts w:ascii="Arial" w:cs="Arial" w:eastAsia="Arial" w:hAnsi="Arial"/>
          <w:sz w:val="22"/>
          <w:szCs w:val="22"/>
        </w:rPr>
        <w:t xml:space="preserve">Pièces jointes : conventions, rapports</w:t>
      </w:r>
    </w:p>
    <w:p>
      <w:pPr>
        <w:pStyle w:val="Heading2"/>
        <w:pBdr>
          <w:bottom w:val="single" w:color="00843D" w:sz="6"/>
        </w:pBdr>
        <w:spacing w:after="120" w:before="300"/>
      </w:pPr>
      <w:r>
        <w:rPr>
          <w:rFonts w:ascii="Arial" w:cs="Arial" w:eastAsia="Arial" w:hAnsi="Arial"/>
          <w:b/>
          <w:bCs/>
          <w:color w:val="1A2B4A"/>
          <w:sz w:val="24"/>
          <w:szCs w:val="24"/>
        </w:rPr>
        <w:t xml:space="preserve">3.5 Formation et Enseignement</w:t>
      </w:r>
    </w:p>
    <w:p>
      <w:pPr>
        <w:spacing w:after="120"/>
        <w:ind w:left="0"/>
      </w:pPr>
      <w:r>
        <w:rPr>
          <w:rFonts w:ascii="Arial" w:cs="Arial" w:eastAsia="Arial" w:hAnsi="Arial"/>
          <w:sz w:val="22"/>
          <w:szCs w:val="22"/>
        </w:rPr>
        <w:t xml:space="preserve">Ce module comptabilise toutes les heures d'enseignement du chercheur, ventilées par type de formation et par semestre.</w:t>
      </w:r>
    </w:p>
    <w:p>
      <w:pPr>
        <w:pStyle w:val="ListParagraph"/>
        <w:numPr>
          <w:ilvl w:val="0"/>
          <w:numId w:val="2"/>
        </w:numPr>
        <w:spacing w:after="80"/>
      </w:pPr>
      <w:r>
        <w:rPr>
          <w:rFonts w:ascii="Arial" w:cs="Arial" w:eastAsia="Arial" w:hAnsi="Arial"/>
          <w:sz w:val="22"/>
          <w:szCs w:val="22"/>
        </w:rPr>
        <w:t xml:space="preserve">Formation initiale : cours, TD, TP, examens, encadrement PFE/stages</w:t>
      </w:r>
    </w:p>
    <w:p>
      <w:pPr>
        <w:pStyle w:val="ListParagraph"/>
        <w:numPr>
          <w:ilvl w:val="0"/>
          <w:numId w:val="2"/>
        </w:numPr>
        <w:spacing w:after="80"/>
      </w:pPr>
      <w:r>
        <w:rPr>
          <w:rFonts w:ascii="Arial" w:cs="Arial" w:eastAsia="Arial" w:hAnsi="Arial"/>
          <w:sz w:val="22"/>
          <w:szCs w:val="22"/>
        </w:rPr>
        <w:t xml:space="preserve">Formation executive : programmes professionnels</w:t>
      </w:r>
    </w:p>
    <w:p>
      <w:pPr>
        <w:pStyle w:val="ListParagraph"/>
        <w:numPr>
          <w:ilvl w:val="0"/>
          <w:numId w:val="2"/>
        </w:numPr>
        <w:spacing w:after="80"/>
      </w:pPr>
      <w:r>
        <w:rPr>
          <w:rFonts w:ascii="Arial" w:cs="Arial" w:eastAsia="Arial" w:hAnsi="Arial"/>
          <w:sz w:val="22"/>
          <w:szCs w:val="22"/>
        </w:rPr>
        <w:t xml:space="preserve">Formation doctorale : cours doctoraux, séminaires de recherche</w:t>
      </w:r>
    </w:p>
    <w:p>
      <w:pPr>
        <w:pStyle w:val="ListParagraph"/>
        <w:numPr>
          <w:ilvl w:val="0"/>
          <w:numId w:val="2"/>
        </w:numPr>
        <w:spacing w:after="80"/>
      </w:pPr>
      <w:r>
        <w:rPr>
          <w:rFonts w:ascii="Arial" w:cs="Arial" w:eastAsia="Arial" w:hAnsi="Arial"/>
          <w:sz w:val="22"/>
          <w:szCs w:val="22"/>
        </w:rPr>
        <w:t xml:space="preserve">Saisie par semestre (S1 et S2)</w:t>
      </w:r>
    </w:p>
    <w:p>
      <w:pPr>
        <w:pStyle w:val="ListParagraph"/>
        <w:numPr>
          <w:ilvl w:val="0"/>
          <w:numId w:val="2"/>
        </w:numPr>
        <w:spacing w:after="80"/>
      </w:pPr>
      <w:r>
        <w:rPr>
          <w:rFonts w:ascii="Arial" w:cs="Arial" w:eastAsia="Arial" w:hAnsi="Arial"/>
          <w:sz w:val="22"/>
          <w:szCs w:val="22"/>
        </w:rPr>
        <w:t xml:space="preserve">Comparaison automatique heures prévues vs heures réalisées</w:t>
      </w:r>
    </w:p>
    <w:p>
      <w:pPr>
        <w:pStyle w:val="ListParagraph"/>
        <w:numPr>
          <w:ilvl w:val="0"/>
          <w:numId w:val="2"/>
        </w:numPr>
        <w:spacing w:after="80"/>
      </w:pPr>
      <w:r>
        <w:rPr>
          <w:rFonts w:ascii="Arial" w:cs="Arial" w:eastAsia="Arial" w:hAnsi="Arial"/>
          <w:sz w:val="22"/>
          <w:szCs w:val="22"/>
        </w:rPr>
        <w:t xml:space="preserve">Indicateur d'avancement en pourcentage</w:t>
      </w:r>
    </w:p>
    <w:p>
      <w:pPr>
        <w:pStyle w:val="Heading2"/>
        <w:pBdr>
          <w:bottom w:val="single" w:color="00843D" w:sz="6"/>
        </w:pBdr>
        <w:spacing w:after="120" w:before="300"/>
      </w:pPr>
      <w:r>
        <w:rPr>
          <w:rFonts w:ascii="Arial" w:cs="Arial" w:eastAsia="Arial" w:hAnsi="Arial"/>
          <w:b/>
          <w:bCs/>
          <w:color w:val="1A2B4A"/>
          <w:sz w:val="24"/>
          <w:szCs w:val="24"/>
        </w:rPr>
        <w:t xml:space="preserve">3.6 Encadrement</w:t>
      </w:r>
    </w:p>
    <w:p>
      <w:pPr>
        <w:spacing w:after="120"/>
        <w:ind w:left="0"/>
      </w:pPr>
      <w:r>
        <w:rPr>
          <w:rFonts w:ascii="Arial" w:cs="Arial" w:eastAsia="Arial" w:hAnsi="Arial"/>
          <w:sz w:val="22"/>
          <w:szCs w:val="22"/>
        </w:rPr>
        <w:t xml:space="preserve">Ce module permet le suivi de tous les étudiants encadrés par le chercheur.</w:t>
      </w:r>
    </w:p>
    <w:p>
      <w:pPr>
        <w:pStyle w:val="ListParagraph"/>
        <w:numPr>
          <w:ilvl w:val="0"/>
          <w:numId w:val="2"/>
        </w:numPr>
        <w:spacing w:after="80"/>
      </w:pPr>
      <w:r>
        <w:rPr>
          <w:rFonts w:ascii="Arial" w:cs="Arial" w:eastAsia="Arial" w:hAnsi="Arial"/>
          <w:sz w:val="22"/>
          <w:szCs w:val="22"/>
        </w:rPr>
        <w:t xml:space="preserve">Profils suivis : doctorants, masters, PFE, stagiaires, postdoctorants</w:t>
      </w:r>
    </w:p>
    <w:p>
      <w:pPr>
        <w:pStyle w:val="ListParagraph"/>
        <w:numPr>
          <w:ilvl w:val="0"/>
          <w:numId w:val="2"/>
        </w:numPr>
        <w:spacing w:after="80"/>
      </w:pPr>
      <w:r>
        <w:rPr>
          <w:rFonts w:ascii="Arial" w:cs="Arial" w:eastAsia="Arial" w:hAnsi="Arial"/>
          <w:sz w:val="22"/>
          <w:szCs w:val="22"/>
        </w:rPr>
        <w:t xml:space="preserve">Informations : nom, sujet de thèse, programme, co-encadrant</w:t>
      </w:r>
    </w:p>
    <w:p>
      <w:pPr>
        <w:pStyle w:val="ListParagraph"/>
        <w:numPr>
          <w:ilvl w:val="0"/>
          <w:numId w:val="2"/>
        </w:numPr>
        <w:spacing w:after="80"/>
      </w:pPr>
      <w:r>
        <w:rPr>
          <w:rFonts w:ascii="Arial" w:cs="Arial" w:eastAsia="Arial" w:hAnsi="Arial"/>
          <w:sz w:val="22"/>
          <w:szCs w:val="22"/>
        </w:rPr>
        <w:t xml:space="preserve">Dates de début et de soutenance prévue</w:t>
      </w:r>
    </w:p>
    <w:p>
      <w:pPr>
        <w:pStyle w:val="ListParagraph"/>
        <w:numPr>
          <w:ilvl w:val="0"/>
          <w:numId w:val="2"/>
        </w:numPr>
        <w:spacing w:after="80"/>
      </w:pPr>
      <w:r>
        <w:rPr>
          <w:rFonts w:ascii="Arial" w:cs="Arial" w:eastAsia="Arial" w:hAnsi="Arial"/>
          <w:sz w:val="22"/>
          <w:szCs w:val="22"/>
        </w:rPr>
        <w:t xml:space="preserve">Statuts : en cours, soutenu, abandonné, terminé</w:t>
      </w:r>
    </w:p>
    <w:p>
      <w:pPr>
        <w:pStyle w:val="Heading2"/>
        <w:pBdr>
          <w:bottom w:val="single" w:color="00843D" w:sz="6"/>
        </w:pBdr>
        <w:spacing w:after="120" w:before="300"/>
      </w:pPr>
      <w:r>
        <w:rPr>
          <w:rFonts w:ascii="Arial" w:cs="Arial" w:eastAsia="Arial" w:hAnsi="Arial"/>
          <w:b/>
          <w:bCs/>
          <w:color w:val="1A2B4A"/>
          <w:sz w:val="24"/>
          <w:szCs w:val="24"/>
        </w:rPr>
        <w:t xml:space="preserve">3.7 Communications et Rayonnement</w:t>
      </w:r>
    </w:p>
    <w:p>
      <w:pPr>
        <w:spacing w:after="120"/>
        <w:ind w:left="0"/>
      </w:pPr>
      <w:r>
        <w:rPr>
          <w:rFonts w:ascii="Arial" w:cs="Arial" w:eastAsia="Arial" w:hAnsi="Arial"/>
          <w:sz w:val="22"/>
          <w:szCs w:val="22"/>
        </w:rPr>
        <w:t xml:space="preserve">Ce module enregistre toutes les interventions publiques et scientifiques du chercheur.</w:t>
      </w:r>
    </w:p>
    <w:p>
      <w:pPr>
        <w:pStyle w:val="ListParagraph"/>
        <w:numPr>
          <w:ilvl w:val="0"/>
          <w:numId w:val="2"/>
        </w:numPr>
        <w:spacing w:after="80"/>
      </w:pPr>
      <w:r>
        <w:rPr>
          <w:rFonts w:ascii="Arial" w:cs="Arial" w:eastAsia="Arial" w:hAnsi="Arial"/>
          <w:sz w:val="22"/>
          <w:szCs w:val="22"/>
        </w:rPr>
        <w:t xml:space="preserve">Conférences internationales et nationales</w:t>
      </w:r>
    </w:p>
    <w:p>
      <w:pPr>
        <w:pStyle w:val="ListParagraph"/>
        <w:numPr>
          <w:ilvl w:val="0"/>
          <w:numId w:val="2"/>
        </w:numPr>
        <w:spacing w:after="80"/>
      </w:pPr>
      <w:r>
        <w:rPr>
          <w:rFonts w:ascii="Arial" w:cs="Arial" w:eastAsia="Arial" w:hAnsi="Arial"/>
          <w:sz w:val="22"/>
          <w:szCs w:val="22"/>
        </w:rPr>
        <w:t xml:space="preserve">Séminaires et webinaires</w:t>
      </w:r>
    </w:p>
    <w:p>
      <w:pPr>
        <w:pStyle w:val="ListParagraph"/>
        <w:numPr>
          <w:ilvl w:val="0"/>
          <w:numId w:val="2"/>
        </w:numPr>
        <w:spacing w:after="80"/>
      </w:pPr>
      <w:r>
        <w:rPr>
          <w:rFonts w:ascii="Arial" w:cs="Arial" w:eastAsia="Arial" w:hAnsi="Arial"/>
          <w:sz w:val="22"/>
          <w:szCs w:val="22"/>
        </w:rPr>
        <w:t xml:space="preserve">Vulgarisation scientifique</w:t>
      </w:r>
    </w:p>
    <w:p>
      <w:pPr>
        <w:pStyle w:val="ListParagraph"/>
        <w:numPr>
          <w:ilvl w:val="0"/>
          <w:numId w:val="2"/>
        </w:numPr>
        <w:spacing w:after="80"/>
      </w:pPr>
      <w:r>
        <w:rPr>
          <w:rFonts w:ascii="Arial" w:cs="Arial" w:eastAsia="Arial" w:hAnsi="Arial"/>
          <w:sz w:val="22"/>
          <w:szCs w:val="22"/>
        </w:rPr>
        <w:t xml:space="preserve">Interventions médias (presse, radio, TV, podcasts)</w:t>
      </w:r>
    </w:p>
    <w:p>
      <w:pPr>
        <w:pStyle w:val="ListParagraph"/>
        <w:numPr>
          <w:ilvl w:val="0"/>
          <w:numId w:val="2"/>
        </w:numPr>
        <w:spacing w:after="80"/>
      </w:pPr>
      <w:r>
        <w:rPr>
          <w:rFonts w:ascii="Arial" w:cs="Arial" w:eastAsia="Arial" w:hAnsi="Arial"/>
          <w:sz w:val="22"/>
          <w:szCs w:val="22"/>
        </w:rPr>
        <w:t xml:space="preserve">Indicateurs : communication invitée, internationale, taille de l'audience</w:t>
      </w:r>
    </w:p>
    <w:p>
      <w:pPr>
        <w:pStyle w:val="ListParagraph"/>
        <w:numPr>
          <w:ilvl w:val="0"/>
          <w:numId w:val="2"/>
        </w:numPr>
        <w:spacing w:after="80"/>
      </w:pPr>
      <w:r>
        <w:rPr>
          <w:rFonts w:ascii="Arial" w:cs="Arial" w:eastAsia="Arial" w:hAnsi="Arial"/>
          <w:sz w:val="22"/>
          <w:szCs w:val="22"/>
        </w:rPr>
        <w:t xml:space="preserve">Suivi du statut : planifiée, réalisée, annulée</w:t>
      </w:r>
    </w:p>
    <w:p>
      <w:pPr>
        <w:pStyle w:val="Heading2"/>
        <w:pBdr>
          <w:bottom w:val="single" w:color="00843D" w:sz="6"/>
        </w:pBdr>
        <w:spacing w:after="120" w:before="300"/>
      </w:pPr>
      <w:r>
        <w:rPr>
          <w:rFonts w:ascii="Arial" w:cs="Arial" w:eastAsia="Arial" w:hAnsi="Arial"/>
          <w:b/>
          <w:bCs/>
          <w:color w:val="1A2B4A"/>
          <w:sz w:val="24"/>
          <w:szCs w:val="24"/>
        </w:rPr>
        <w:t xml:space="preserve">3.8 Propriété Intellectuelle</w:t>
      </w:r>
    </w:p>
    <w:p>
      <w:pPr>
        <w:spacing w:after="120"/>
        <w:ind w:left="0"/>
      </w:pPr>
      <w:r>
        <w:rPr>
          <w:rFonts w:ascii="Arial" w:cs="Arial" w:eastAsia="Arial" w:hAnsi="Arial"/>
          <w:sz w:val="22"/>
          <w:szCs w:val="22"/>
        </w:rPr>
        <w:t xml:space="preserve">Ce module gère l'ensemble des titres de propriété intellectuelle déposés ou accordés.</w:t>
      </w:r>
    </w:p>
    <w:p>
      <w:pPr>
        <w:pStyle w:val="ListParagraph"/>
        <w:numPr>
          <w:ilvl w:val="0"/>
          <w:numId w:val="2"/>
        </w:numPr>
        <w:spacing w:after="80"/>
      </w:pPr>
      <w:r>
        <w:rPr>
          <w:rFonts w:ascii="Arial" w:cs="Arial" w:eastAsia="Arial" w:hAnsi="Arial"/>
          <w:sz w:val="22"/>
          <w:szCs w:val="22"/>
        </w:rPr>
        <w:t xml:space="preserve">Brevets d'invention, marques déposées, logiciels, modèles d'utilité</w:t>
      </w:r>
    </w:p>
    <w:p>
      <w:pPr>
        <w:pStyle w:val="ListParagraph"/>
        <w:numPr>
          <w:ilvl w:val="0"/>
          <w:numId w:val="2"/>
        </w:numPr>
        <w:spacing w:after="80"/>
      </w:pPr>
      <w:r>
        <w:rPr>
          <w:rFonts w:ascii="Arial" w:cs="Arial" w:eastAsia="Arial" w:hAnsi="Arial"/>
          <w:sz w:val="22"/>
          <w:szCs w:val="22"/>
        </w:rPr>
        <w:t xml:space="preserve">Suivi du cycle de vie : brouillon, déposé, en examen, accordé, rejeté, expiré</w:t>
      </w:r>
    </w:p>
    <w:p>
      <w:pPr>
        <w:pStyle w:val="ListParagraph"/>
        <w:numPr>
          <w:ilvl w:val="0"/>
          <w:numId w:val="2"/>
        </w:numPr>
        <w:spacing w:after="80"/>
      </w:pPr>
      <w:r>
        <w:rPr>
          <w:rFonts w:ascii="Arial" w:cs="Arial" w:eastAsia="Arial" w:hAnsi="Arial"/>
          <w:sz w:val="22"/>
          <w:szCs w:val="22"/>
        </w:rPr>
        <w:t xml:space="preserve">Numéro de référence officielle</w:t>
      </w:r>
    </w:p>
    <w:p>
      <w:pPr>
        <w:pStyle w:val="ListParagraph"/>
        <w:numPr>
          <w:ilvl w:val="0"/>
          <w:numId w:val="2"/>
        </w:numPr>
        <w:spacing w:after="80"/>
      </w:pPr>
      <w:r>
        <w:rPr>
          <w:rFonts w:ascii="Arial" w:cs="Arial" w:eastAsia="Arial" w:hAnsi="Arial"/>
          <w:sz w:val="22"/>
          <w:szCs w:val="22"/>
        </w:rPr>
        <w:t xml:space="preserve">Inventeurs, titulaire, pays de protection</w:t>
      </w:r>
    </w:p>
    <w:p>
      <w:pPr>
        <w:pStyle w:val="ListParagraph"/>
        <w:numPr>
          <w:ilvl w:val="0"/>
          <w:numId w:val="2"/>
        </w:numPr>
        <w:spacing w:after="80"/>
      </w:pPr>
      <w:r>
        <w:rPr>
          <w:rFonts w:ascii="Arial" w:cs="Arial" w:eastAsia="Arial" w:hAnsi="Arial"/>
          <w:sz w:val="22"/>
          <w:szCs w:val="22"/>
        </w:rPr>
        <w:t xml:space="preserve">Valorisation et revenus de licences</w:t>
      </w:r>
    </w:p>
    <w:p>
      <w:pPr>
        <w:pStyle w:val="Heading2"/>
        <w:pBdr>
          <w:bottom w:val="single" w:color="00843D" w:sz="6"/>
        </w:pBdr>
        <w:spacing w:after="120" w:before="300"/>
      </w:pPr>
      <w:r>
        <w:rPr>
          <w:rFonts w:ascii="Arial" w:cs="Arial" w:eastAsia="Arial" w:hAnsi="Arial"/>
          <w:b/>
          <w:bCs/>
          <w:color w:val="1A2B4A"/>
          <w:sz w:val="24"/>
          <w:szCs w:val="24"/>
        </w:rPr>
        <w:t xml:space="preserve">3.9 Prestations et Contrats Industriels</w:t>
      </w:r>
    </w:p>
    <w:p>
      <w:pPr>
        <w:spacing w:after="120"/>
        <w:ind w:left="0"/>
      </w:pPr>
      <w:r>
        <w:rPr>
          <w:rFonts w:ascii="Arial" w:cs="Arial" w:eastAsia="Arial" w:hAnsi="Arial"/>
          <w:sz w:val="22"/>
          <w:szCs w:val="22"/>
        </w:rPr>
        <w:t xml:space="preserve">Ce module comptabilise les contrats de prestation et les activités génératrices de revenus.</w:t>
      </w:r>
    </w:p>
    <w:p>
      <w:pPr>
        <w:pStyle w:val="ListParagraph"/>
        <w:numPr>
          <w:ilvl w:val="0"/>
          <w:numId w:val="2"/>
        </w:numPr>
        <w:spacing w:after="80"/>
      </w:pPr>
      <w:r>
        <w:rPr>
          <w:rFonts w:ascii="Arial" w:cs="Arial" w:eastAsia="Arial" w:hAnsi="Arial"/>
          <w:sz w:val="22"/>
          <w:szCs w:val="22"/>
        </w:rPr>
        <w:t xml:space="preserve">Types : expertise, analyse, formation sur mesure, étude, audit</w:t>
      </w:r>
    </w:p>
    <w:p>
      <w:pPr>
        <w:pStyle w:val="ListParagraph"/>
        <w:numPr>
          <w:ilvl w:val="0"/>
          <w:numId w:val="2"/>
        </w:numPr>
        <w:spacing w:after="80"/>
      </w:pPr>
      <w:r>
        <w:rPr>
          <w:rFonts w:ascii="Arial" w:cs="Arial" w:eastAsia="Arial" w:hAnsi="Arial"/>
          <w:sz w:val="22"/>
          <w:szCs w:val="22"/>
        </w:rPr>
        <w:t xml:space="preserve">Identification du client (privé, public, international, ONG)</w:t>
      </w:r>
    </w:p>
    <w:p>
      <w:pPr>
        <w:pStyle w:val="ListParagraph"/>
        <w:numPr>
          <w:ilvl w:val="0"/>
          <w:numId w:val="2"/>
        </w:numPr>
        <w:spacing w:after="80"/>
      </w:pPr>
      <w:r>
        <w:rPr>
          <w:rFonts w:ascii="Arial" w:cs="Arial" w:eastAsia="Arial" w:hAnsi="Arial"/>
          <w:sz w:val="22"/>
          <w:szCs w:val="22"/>
        </w:rPr>
        <w:t xml:space="preserve">Suivi financier : montant total du contrat, part UM6P</w:t>
      </w:r>
    </w:p>
    <w:p>
      <w:pPr>
        <w:pStyle w:val="ListParagraph"/>
        <w:numPr>
          <w:ilvl w:val="0"/>
          <w:numId w:val="2"/>
        </w:numPr>
        <w:spacing w:after="80"/>
      </w:pPr>
      <w:r>
        <w:rPr>
          <w:rFonts w:ascii="Arial" w:cs="Arial" w:eastAsia="Arial" w:hAnsi="Arial"/>
          <w:sz w:val="22"/>
          <w:szCs w:val="22"/>
        </w:rPr>
        <w:t xml:space="preserve">Livrables attendus, membres de l'équipe</w:t>
      </w:r>
    </w:p>
    <w:p>
      <w:pPr>
        <w:pStyle w:val="ListParagraph"/>
        <w:numPr>
          <w:ilvl w:val="0"/>
          <w:numId w:val="2"/>
        </w:numPr>
        <w:spacing w:after="80"/>
      </w:pPr>
      <w:r>
        <w:rPr>
          <w:rFonts w:ascii="Arial" w:cs="Arial" w:eastAsia="Arial" w:hAnsi="Arial"/>
          <w:sz w:val="22"/>
          <w:szCs w:val="22"/>
        </w:rPr>
        <w:t xml:space="preserve">Calcul automatique du chiffre d'affaires total et part UM6P</w:t>
      </w:r>
    </w:p>
    <w:p>
      <w:pPr>
        <w:pStyle w:val="Heading2"/>
        <w:pBdr>
          <w:bottom w:val="single" w:color="00843D" w:sz="6"/>
        </w:pBdr>
        <w:spacing w:after="120" w:before="300"/>
      </w:pPr>
      <w:r>
        <w:rPr>
          <w:rFonts w:ascii="Arial" w:cs="Arial" w:eastAsia="Arial" w:hAnsi="Arial"/>
          <w:b/>
          <w:bCs/>
          <w:color w:val="1A2B4A"/>
          <w:sz w:val="24"/>
          <w:szCs w:val="24"/>
        </w:rPr>
        <w:t xml:space="preserve">3.10 Collaborations et Partenariats</w:t>
      </w:r>
    </w:p>
    <w:p>
      <w:pPr>
        <w:spacing w:after="120"/>
        <w:ind w:left="0"/>
      </w:pPr>
      <w:r>
        <w:rPr>
          <w:rFonts w:ascii="Arial" w:cs="Arial" w:eastAsia="Arial" w:hAnsi="Arial"/>
          <w:sz w:val="22"/>
          <w:szCs w:val="22"/>
        </w:rPr>
        <w:t xml:space="preserve">Ce module recense toutes les coopérations académiques et scientifiques.</w:t>
      </w:r>
    </w:p>
    <w:p>
      <w:pPr>
        <w:pStyle w:val="ListParagraph"/>
        <w:numPr>
          <w:ilvl w:val="0"/>
          <w:numId w:val="2"/>
        </w:numPr>
        <w:spacing w:after="80"/>
      </w:pPr>
      <w:r>
        <w:rPr>
          <w:rFonts w:ascii="Arial" w:cs="Arial" w:eastAsia="Arial" w:hAnsi="Arial"/>
          <w:sz w:val="22"/>
          <w:szCs w:val="22"/>
        </w:rPr>
        <w:t xml:space="preserve">Partenaires : universités, centres de recherche, entreprises, organisations internationales</w:t>
      </w:r>
    </w:p>
    <w:p>
      <w:pPr>
        <w:pStyle w:val="ListParagraph"/>
        <w:numPr>
          <w:ilvl w:val="0"/>
          <w:numId w:val="2"/>
        </w:numPr>
        <w:spacing w:after="80"/>
      </w:pPr>
      <w:r>
        <w:rPr>
          <w:rFonts w:ascii="Arial" w:cs="Arial" w:eastAsia="Arial" w:hAnsi="Arial"/>
          <w:sz w:val="22"/>
          <w:szCs w:val="22"/>
        </w:rPr>
        <w:t xml:space="preserve">Types de collaboration : recherche conjointe, co-publication, mobilité, cotutelle</w:t>
      </w:r>
    </w:p>
    <w:p>
      <w:pPr>
        <w:pStyle w:val="ListParagraph"/>
        <w:numPr>
          <w:ilvl w:val="0"/>
          <w:numId w:val="2"/>
        </w:numPr>
        <w:spacing w:after="80"/>
      </w:pPr>
      <w:r>
        <w:rPr>
          <w:rFonts w:ascii="Arial" w:cs="Arial" w:eastAsia="Arial" w:hAnsi="Arial"/>
          <w:sz w:val="22"/>
          <w:szCs w:val="22"/>
        </w:rPr>
        <w:t xml:space="preserve">Indication de convention signée avec référence</w:t>
      </w:r>
    </w:p>
    <w:p>
      <w:pPr>
        <w:pStyle w:val="ListParagraph"/>
        <w:numPr>
          <w:ilvl w:val="0"/>
          <w:numId w:val="2"/>
        </w:numPr>
        <w:spacing w:after="80"/>
      </w:pPr>
      <w:r>
        <w:rPr>
          <w:rFonts w:ascii="Arial" w:cs="Arial" w:eastAsia="Arial" w:hAnsi="Arial"/>
          <w:sz w:val="22"/>
          <w:szCs w:val="22"/>
        </w:rPr>
        <w:t xml:space="preserve">Suivi des résultats et livrables de la collaboration</w:t>
      </w:r>
    </w:p>
    <w:p>
      <w:pPr>
        <w:pStyle w:val="Heading2"/>
        <w:pBdr>
          <w:bottom w:val="single" w:color="00843D" w:sz="6"/>
        </w:pBdr>
        <w:spacing w:after="120" w:before="300"/>
      </w:pPr>
      <w:r>
        <w:rPr>
          <w:rFonts w:ascii="Arial" w:cs="Arial" w:eastAsia="Arial" w:hAnsi="Arial"/>
          <w:b/>
          <w:bCs/>
          <w:color w:val="1A2B4A"/>
          <w:sz w:val="24"/>
          <w:szCs w:val="24"/>
        </w:rPr>
        <w:t xml:space="preserve">3.11 Expertise et Responsabilités</w:t>
      </w:r>
    </w:p>
    <w:p>
      <w:pPr>
        <w:spacing w:after="120"/>
        <w:ind w:left="0"/>
      </w:pPr>
      <w:r>
        <w:rPr>
          <w:rFonts w:ascii="Arial" w:cs="Arial" w:eastAsia="Arial" w:hAnsi="Arial"/>
          <w:sz w:val="22"/>
          <w:szCs w:val="22"/>
        </w:rPr>
        <w:t xml:space="preserve">Ce module enregistre toutes les activités d'expertise et de service à la communauté scientifique.</w:t>
      </w:r>
    </w:p>
    <w:p>
      <w:pPr>
        <w:pStyle w:val="ListParagraph"/>
        <w:numPr>
          <w:ilvl w:val="0"/>
          <w:numId w:val="2"/>
        </w:numPr>
        <w:spacing w:after="80"/>
      </w:pPr>
      <w:r>
        <w:rPr>
          <w:rFonts w:ascii="Arial" w:cs="Arial" w:eastAsia="Arial" w:hAnsi="Arial"/>
          <w:sz w:val="22"/>
          <w:szCs w:val="22"/>
        </w:rPr>
        <w:t xml:space="preserve">Jurys de thèse et d'HDR (Habilitation à Diriger des Recherches)</w:t>
      </w:r>
    </w:p>
    <w:p>
      <w:pPr>
        <w:pStyle w:val="ListParagraph"/>
        <w:numPr>
          <w:ilvl w:val="0"/>
          <w:numId w:val="2"/>
        </w:numPr>
        <w:spacing w:after="80"/>
      </w:pPr>
      <w:r>
        <w:rPr>
          <w:rFonts w:ascii="Arial" w:cs="Arial" w:eastAsia="Arial" w:hAnsi="Arial"/>
          <w:sz w:val="22"/>
          <w:szCs w:val="22"/>
        </w:rPr>
        <w:t xml:space="preserve">Évaluation de projets (ANR, UE, etc.)</w:t>
      </w:r>
    </w:p>
    <w:p>
      <w:pPr>
        <w:pStyle w:val="ListParagraph"/>
        <w:numPr>
          <w:ilvl w:val="0"/>
          <w:numId w:val="2"/>
        </w:numPr>
        <w:spacing w:after="80"/>
      </w:pPr>
      <w:r>
        <w:rPr>
          <w:rFonts w:ascii="Arial" w:cs="Arial" w:eastAsia="Arial" w:hAnsi="Arial"/>
          <w:sz w:val="22"/>
          <w:szCs w:val="22"/>
        </w:rPr>
        <w:t xml:space="preserve">Participation à des comités scientifiques</w:t>
      </w:r>
    </w:p>
    <w:p>
      <w:pPr>
        <w:pStyle w:val="ListParagraph"/>
        <w:numPr>
          <w:ilvl w:val="0"/>
          <w:numId w:val="2"/>
        </w:numPr>
        <w:spacing w:after="80"/>
      </w:pPr>
      <w:r>
        <w:rPr>
          <w:rFonts w:ascii="Arial" w:cs="Arial" w:eastAsia="Arial" w:hAnsi="Arial"/>
          <w:sz w:val="22"/>
          <w:szCs w:val="22"/>
        </w:rPr>
        <w:t xml:space="preserve">Peer-review : révision d'articles pour des revues</w:t>
      </w:r>
    </w:p>
    <w:p>
      <w:pPr>
        <w:pStyle w:val="ListParagraph"/>
        <w:numPr>
          <w:ilvl w:val="0"/>
          <w:numId w:val="2"/>
        </w:numPr>
        <w:spacing w:after="80"/>
      </w:pPr>
      <w:r>
        <w:rPr>
          <w:rFonts w:ascii="Arial" w:cs="Arial" w:eastAsia="Arial" w:hAnsi="Arial"/>
          <w:sz w:val="22"/>
          <w:szCs w:val="22"/>
        </w:rPr>
        <w:t xml:space="preserve">Commissions nationales et expertises institutionnelles</w:t>
      </w:r>
    </w:p>
    <w:p>
      <w:pPr>
        <w:pStyle w:val="ListParagraph"/>
        <w:numPr>
          <w:ilvl w:val="0"/>
          <w:numId w:val="2"/>
        </w:numPr>
        <w:spacing w:after="80"/>
      </w:pPr>
      <w:r>
        <w:rPr>
          <w:rFonts w:ascii="Arial" w:cs="Arial" w:eastAsia="Arial" w:hAnsi="Arial"/>
          <w:sz w:val="22"/>
          <w:szCs w:val="22"/>
        </w:rPr>
        <w:t xml:space="preserve">Prix et distinctions</w:t>
      </w:r>
    </w:p>
    <w:p>
      <w:pPr>
        <w:pStyle w:val="Heading2"/>
        <w:pBdr>
          <w:bottom w:val="single" w:color="00843D" w:sz="6"/>
        </w:pBdr>
        <w:spacing w:after="120" w:before="300"/>
      </w:pPr>
      <w:r>
        <w:rPr>
          <w:rFonts w:ascii="Arial" w:cs="Arial" w:eastAsia="Arial" w:hAnsi="Arial"/>
          <w:b/>
          <w:bCs/>
          <w:color w:val="1A2B4A"/>
          <w:sz w:val="24"/>
          <w:szCs w:val="24"/>
        </w:rPr>
        <w:t xml:space="preserve">3.12 Prévisions et Suivi des KPI</w:t>
      </w:r>
    </w:p>
    <w:p>
      <w:pPr>
        <w:spacing w:after="120"/>
        <w:ind w:left="0"/>
      </w:pPr>
      <w:r>
        <w:rPr>
          <w:rFonts w:ascii="Arial" w:cs="Arial" w:eastAsia="Arial" w:hAnsi="Arial"/>
          <w:sz w:val="22"/>
          <w:szCs w:val="22"/>
        </w:rPr>
        <w:t xml:space="preserve">Ce module est le cœur du pilotage de la performance. Il permet de fixer des objectifs annuels et de suivre automatiquement les réalisations.</w:t>
      </w:r>
    </w:p>
    <w:p>
      <w:pPr>
        <w:pStyle w:val="ListParagraph"/>
        <w:numPr>
          <w:ilvl w:val="0"/>
          <w:numId w:val="2"/>
        </w:numPr>
        <w:spacing w:after="80"/>
      </w:pPr>
      <w:r>
        <w:rPr>
          <w:rFonts w:ascii="Arial" w:cs="Arial" w:eastAsia="Arial" w:hAnsi="Arial"/>
          <w:sz w:val="22"/>
          <w:szCs w:val="22"/>
        </w:rPr>
        <w:t xml:space="preserve">Définition des objectifs (prévisions) par KPI et par année académique</w:t>
      </w:r>
    </w:p>
    <w:p>
      <w:pPr>
        <w:pStyle w:val="ListParagraph"/>
        <w:numPr>
          <w:ilvl w:val="0"/>
          <w:numId w:val="2"/>
        </w:numPr>
        <w:spacing w:after="80"/>
      </w:pPr>
      <w:r>
        <w:rPr>
          <w:rFonts w:ascii="Arial" w:cs="Arial" w:eastAsia="Arial" w:hAnsi="Arial"/>
          <w:sz w:val="22"/>
          <w:szCs w:val="22"/>
        </w:rPr>
        <w:t xml:space="preserve">Révision des prévisions à mi-année (Révision S1)</w:t>
      </w:r>
    </w:p>
    <w:p>
      <w:pPr>
        <w:pStyle w:val="ListParagraph"/>
        <w:numPr>
          <w:ilvl w:val="0"/>
          <w:numId w:val="2"/>
        </w:numPr>
        <w:spacing w:after="80"/>
      </w:pPr>
      <w:r>
        <w:rPr>
          <w:rFonts w:ascii="Arial" w:cs="Arial" w:eastAsia="Arial" w:hAnsi="Arial"/>
          <w:sz w:val="22"/>
          <w:szCs w:val="22"/>
        </w:rPr>
        <w:t xml:space="preserve">Calcul automatique des réalisations à partir des données réelles des modules</w:t>
      </w:r>
    </w:p>
    <w:p>
      <w:pPr>
        <w:pStyle w:val="ListParagraph"/>
        <w:numPr>
          <w:ilvl w:val="0"/>
          <w:numId w:val="2"/>
        </w:numPr>
        <w:spacing w:after="80"/>
      </w:pPr>
      <w:r>
        <w:rPr>
          <w:rFonts w:ascii="Arial" w:cs="Arial" w:eastAsia="Arial" w:hAnsi="Arial"/>
          <w:sz w:val="22"/>
          <w:szCs w:val="22"/>
        </w:rPr>
        <w:t xml:space="preserve">Calcul de l'écart (réalisé - prévu) et du taux d'atteinte (%)</w:t>
      </w:r>
    </w:p>
    <w:p>
      <w:pPr>
        <w:pStyle w:val="ListParagraph"/>
        <w:numPr>
          <w:ilvl w:val="0"/>
          <w:numId w:val="2"/>
        </w:numPr>
        <w:spacing w:after="80"/>
      </w:pPr>
      <w:r>
        <w:rPr>
          <w:rFonts w:ascii="Arial" w:cs="Arial" w:eastAsia="Arial" w:hAnsi="Arial"/>
          <w:sz w:val="22"/>
          <w:szCs w:val="22"/>
        </w:rPr>
        <w:t xml:space="preserve">Statuts automatiques : dans les objectifs, à risque, dépassé, non démarré</w:t>
      </w:r>
    </w:p>
    <w:p>
      <w:pPr>
        <w:pStyle w:val="ListParagraph"/>
        <w:numPr>
          <w:ilvl w:val="0"/>
          <w:numId w:val="2"/>
        </w:numPr>
        <w:spacing w:after="80"/>
      </w:pPr>
      <w:r>
        <w:rPr>
          <w:rFonts w:ascii="Arial" w:cs="Arial" w:eastAsia="Arial" w:hAnsi="Arial"/>
          <w:sz w:val="22"/>
          <w:szCs w:val="22"/>
        </w:rPr>
        <w:t xml:space="preserve">Justification obligatoire si l'écart dépasse 20%</w:t>
      </w:r>
    </w:p>
    <w:p>
      <w:pPr>
        <w:pStyle w:val="Heading2"/>
        <w:pBdr>
          <w:bottom w:val="single" w:color="00843D" w:sz="6"/>
        </w:pBdr>
        <w:spacing w:after="120" w:before="300"/>
      </w:pPr>
      <w:r>
        <w:rPr>
          <w:rFonts w:ascii="Arial" w:cs="Arial" w:eastAsia="Arial" w:hAnsi="Arial"/>
          <w:b/>
          <w:bCs/>
          <w:color w:val="1A2B4A"/>
          <w:sz w:val="24"/>
          <w:szCs w:val="24"/>
        </w:rPr>
        <w:t xml:space="preserve">3.13 Administration</w:t>
      </w:r>
    </w:p>
    <w:p>
      <w:pPr>
        <w:spacing w:after="120"/>
        <w:ind w:left="0"/>
      </w:pPr>
      <w:r>
        <w:rPr>
          <w:rFonts w:ascii="Arial" w:cs="Arial" w:eastAsia="Arial" w:hAnsi="Arial"/>
          <w:sz w:val="22"/>
          <w:szCs w:val="22"/>
        </w:rPr>
        <w:t xml:space="preserve">Le module d'administration est réservé aux utilisateurs ayant le rôle Administrateur.</w:t>
      </w:r>
    </w:p>
    <w:p>
      <w:pPr>
        <w:pStyle w:val="ListParagraph"/>
        <w:numPr>
          <w:ilvl w:val="0"/>
          <w:numId w:val="2"/>
        </w:numPr>
        <w:spacing w:after="80"/>
      </w:pPr>
      <w:r>
        <w:rPr>
          <w:rFonts w:ascii="Arial" w:cs="Arial" w:eastAsia="Arial" w:hAnsi="Arial"/>
          <w:sz w:val="22"/>
          <w:szCs w:val="22"/>
        </w:rPr>
        <w:t xml:space="preserve">Gestion des utilisateurs : liste, rôles, activation / désactivation</w:t>
      </w:r>
    </w:p>
    <w:p>
      <w:pPr>
        <w:pStyle w:val="ListParagraph"/>
        <w:numPr>
          <w:ilvl w:val="0"/>
          <w:numId w:val="2"/>
        </w:numPr>
        <w:spacing w:after="80"/>
      </w:pPr>
      <w:r>
        <w:rPr>
          <w:rFonts w:ascii="Arial" w:cs="Arial" w:eastAsia="Arial" w:hAnsi="Arial"/>
          <w:sz w:val="22"/>
          <w:szCs w:val="22"/>
        </w:rPr>
        <w:t xml:space="preserve">Statistiques globales de la plateforme (toutes données consolidées)</w:t>
      </w:r>
    </w:p>
    <w:p>
      <w:pPr>
        <w:pStyle w:val="ListParagraph"/>
        <w:numPr>
          <w:ilvl w:val="0"/>
          <w:numId w:val="2"/>
        </w:numPr>
        <w:spacing w:after="80"/>
      </w:pPr>
      <w:r>
        <w:rPr>
          <w:rFonts w:ascii="Arial" w:cs="Arial" w:eastAsia="Arial" w:hAnsi="Arial"/>
          <w:sz w:val="22"/>
          <w:szCs w:val="22"/>
        </w:rPr>
        <w:t xml:space="preserve">Répartition des utilisateurs par rôle</w:t>
      </w:r>
    </w:p>
    <w:p>
      <w:pPr>
        <w:pStyle w:val="ListParagraph"/>
        <w:numPr>
          <w:ilvl w:val="0"/>
          <w:numId w:val="2"/>
        </w:numPr>
        <w:spacing w:after="80"/>
      </w:pPr>
      <w:r>
        <w:rPr>
          <w:rFonts w:ascii="Arial" w:cs="Arial" w:eastAsia="Arial" w:hAnsi="Arial"/>
          <w:sz w:val="22"/>
          <w:szCs w:val="22"/>
        </w:rPr>
        <w:t xml:space="preserve">Accès à l'ensemble des données de tous les chercheurs</w:t>
      </w:r>
    </w:p>
    <w:p>
      <w:r>
        <w:br w:type="page"/>
      </w:r>
    </w:p>
    <w:p>
      <w:pPr>
        <w:pStyle w:val="Heading1"/>
        <w:shd w:fill="1A2B4A" w:val="clear"/>
        <w:spacing w:after="200" w:before="400"/>
        <w:ind w:left="200" w:right="200"/>
      </w:pPr>
      <w:r>
        <w:rPr>
          <w:rFonts w:ascii="Arial" w:cs="Arial" w:eastAsia="Arial" w:hAnsi="Arial"/>
          <w:b/>
          <w:bCs/>
          <w:color w:val="FFFFFF"/>
          <w:sz w:val="28"/>
          <w:szCs w:val="28"/>
        </w:rPr>
        <w:t xml:space="preserve">4. Indicateurs de Performance (KPI)</w:t>
      </w:r>
    </w:p>
    <w:p>
      <w:pPr>
        <w:spacing w:after="120"/>
        <w:ind w:left="0"/>
      </w:pPr>
      <w:r>
        <w:rPr>
          <w:rFonts w:ascii="Arial" w:cs="Arial" w:eastAsia="Arial" w:hAnsi="Arial"/>
          <w:sz w:val="22"/>
          <w:szCs w:val="22"/>
        </w:rPr>
        <w:t xml:space="preserve">La plateforme calcule automatiquement 23 indicateurs de performance répartis en 6 catégories. Aucun de ces indicateurs ne nécessite de saisie manuelle — ils sont tous calculés à partir des données réelles enregistrées dans les différents modules.</w:t>
      </w:r>
    </w:p>
    <w:p>
      <w:pPr>
        <w:pStyle w:val="Heading2"/>
        <w:pBdr>
          <w:bottom w:val="single" w:color="00843D" w:sz="6"/>
        </w:pBdr>
        <w:spacing w:after="120" w:before="300"/>
      </w:pPr>
      <w:r>
        <w:rPr>
          <w:rFonts w:ascii="Arial" w:cs="Arial" w:eastAsia="Arial" w:hAnsi="Arial"/>
          <w:b/>
          <w:bCs/>
          <w:color w:val="1A2B4A"/>
          <w:sz w:val="24"/>
          <w:szCs w:val="24"/>
        </w:rPr>
        <w:t xml:space="preserve">4.1 KPI Publications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2000"/>
      </w:tblGrid>
      <w:tr>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Indicateur KPI</w:t>
            </w:r>
          </w:p>
        </w:tc>
        <w:tc>
          <w:tcPr>
            <w:tcW w:type="dxa" w:w="43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 / Mode de calcul</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Articles revues (total)</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total d'articles publiés dans des revues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Publications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Articles indexés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d'articles dans des revues indexées (Scopus, WoS)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Publications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Publications Q1/Q2</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d'articles dans des revues de quartile Q1 ou Q2</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Publications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Chapitres &amp; livres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de chapitres de livres et ouvrages publiés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Publications</w:t>
            </w:r>
          </w:p>
        </w:tc>
      </w:tr>
    </w:tbl>
    <w:p>
      <w:pPr>
        <w:spacing w:after="200"/>
      </w:pPr>
    </w:p>
    <w:p>
      <w:pPr>
        <w:pStyle w:val="Heading2"/>
        <w:pBdr>
          <w:bottom w:val="single" w:color="00843D" w:sz="6"/>
        </w:pBdr>
        <w:spacing w:after="120" w:before="300"/>
      </w:pPr>
      <w:r>
        <w:rPr>
          <w:rFonts w:ascii="Arial" w:cs="Arial" w:eastAsia="Arial" w:hAnsi="Arial"/>
          <w:b/>
          <w:bCs/>
          <w:color w:val="1A2B4A"/>
          <w:sz w:val="24"/>
          <w:szCs w:val="24"/>
        </w:rPr>
        <w:t xml:space="preserve">4.2 KPI Projets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2000"/>
      </w:tblGrid>
      <w:tr>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Indicateur KPI</w:t>
            </w:r>
          </w:p>
        </w:tc>
        <w:tc>
          <w:tcPr>
            <w:tcW w:type="dxa" w:w="43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 / Mode de calcul</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Projets actifs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de projets avec statut "en cours"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Projets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Budget total (MAD)</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Somme des budgets UM6P de tous les projets actifs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Projets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Projets internationaux</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de projets de type "international"</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Projets</w:t>
            </w:r>
          </w:p>
        </w:tc>
      </w:tr>
    </w:tbl>
    <w:p>
      <w:pPr>
        <w:spacing w:after="200"/>
      </w:pPr>
    </w:p>
    <w:p>
      <w:pPr>
        <w:pStyle w:val="Heading2"/>
        <w:pBdr>
          <w:bottom w:val="single" w:color="00843D" w:sz="6"/>
        </w:pBdr>
        <w:spacing w:after="120" w:before="300"/>
      </w:pPr>
      <w:r>
        <w:rPr>
          <w:rFonts w:ascii="Arial" w:cs="Arial" w:eastAsia="Arial" w:hAnsi="Arial"/>
          <w:b/>
          <w:bCs/>
          <w:color w:val="1A2B4A"/>
          <w:sz w:val="24"/>
          <w:szCs w:val="24"/>
        </w:rPr>
        <w:t xml:space="preserve">4.3 KPI Formation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2000"/>
      </w:tblGrid>
      <w:tr>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Indicateur KPI</w:t>
            </w:r>
          </w:p>
        </w:tc>
        <w:tc>
          <w:tcPr>
            <w:tcW w:type="dxa" w:w="43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 / Mode de calcul</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Heures formation initiale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heures réalisées en formation initiale</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Formations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Heures formation executive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heures réalisées en formation executive</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Formations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Heures formation doctorale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heures réalisées en formation doctorale</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Formations</w:t>
            </w:r>
          </w:p>
        </w:tc>
      </w:tr>
    </w:tbl>
    <w:p>
      <w:pPr>
        <w:spacing w:after="200"/>
      </w:pPr>
    </w:p>
    <w:p>
      <w:pPr>
        <w:pStyle w:val="Heading2"/>
        <w:pBdr>
          <w:bottom w:val="single" w:color="00843D" w:sz="6"/>
        </w:pBdr>
        <w:spacing w:after="120" w:before="300"/>
      </w:pPr>
      <w:r>
        <w:rPr>
          <w:rFonts w:ascii="Arial" w:cs="Arial" w:eastAsia="Arial" w:hAnsi="Arial"/>
          <w:b/>
          <w:bCs/>
          <w:color w:val="1A2B4A"/>
          <w:sz w:val="24"/>
          <w:szCs w:val="24"/>
        </w:rPr>
        <w:t xml:space="preserve">4.4 KPI Encadrement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2000"/>
      </w:tblGrid>
      <w:tr>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Indicateur KPI</w:t>
            </w:r>
          </w:p>
        </w:tc>
        <w:tc>
          <w:tcPr>
            <w:tcW w:type="dxa" w:w="43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 / Mode de calcul</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Doctorants encadrés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de doctorants (en cours + soutenus)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Encadrements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Thèses soutenues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de soutenances réussies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Encadrements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Masters &amp; PFE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total de masters et PFE encadrés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Encadrements</w:t>
            </w:r>
          </w:p>
        </w:tc>
      </w:tr>
    </w:tbl>
    <w:p>
      <w:pPr>
        <w:spacing w:after="200"/>
      </w:pPr>
    </w:p>
    <w:p>
      <w:pPr>
        <w:pStyle w:val="Heading2"/>
        <w:pBdr>
          <w:bottom w:val="single" w:color="00843D" w:sz="6"/>
        </w:pBdr>
        <w:spacing w:after="120" w:before="300"/>
      </w:pPr>
      <w:r>
        <w:rPr>
          <w:rFonts w:ascii="Arial" w:cs="Arial" w:eastAsia="Arial" w:hAnsi="Arial"/>
          <w:b/>
          <w:bCs/>
          <w:color w:val="1A2B4A"/>
          <w:sz w:val="24"/>
          <w:szCs w:val="24"/>
        </w:rPr>
        <w:t xml:space="preserve">4.5 KPI Rayonnement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2000"/>
      </w:tblGrid>
      <w:tr>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Indicateur KPI</w:t>
            </w:r>
          </w:p>
        </w:tc>
        <w:tc>
          <w:tcPr>
            <w:tcW w:type="dxa" w:w="43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 / Mode de calcul</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Communications internationales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Conférences et séminaires internationaux</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Communications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Communications invitées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de keynotes et interventions invitées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Communications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Articles évalués (peer-review)</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total d'articles évalués pour des revues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Expertise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Jurys de thèse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Participations à des jurys de thèse et HDR</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Expertise</w:t>
            </w:r>
          </w:p>
        </w:tc>
      </w:tr>
    </w:tbl>
    <w:p>
      <w:pPr>
        <w:spacing w:after="200"/>
      </w:pPr>
    </w:p>
    <w:p>
      <w:pPr>
        <w:pStyle w:val="Heading2"/>
        <w:pBdr>
          <w:bottom w:val="single" w:color="00843D" w:sz="6"/>
        </w:pBdr>
        <w:spacing w:after="120" w:before="300"/>
      </w:pPr>
      <w:r>
        <w:rPr>
          <w:rFonts w:ascii="Arial" w:cs="Arial" w:eastAsia="Arial" w:hAnsi="Arial"/>
          <w:b/>
          <w:bCs/>
          <w:color w:val="1A2B4A"/>
          <w:sz w:val="24"/>
          <w:szCs w:val="24"/>
        </w:rPr>
        <w:t xml:space="preserve">4.6 KPI Valorisation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2000"/>
      </w:tblGrid>
      <w:tr>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Indicateur KPI</w:t>
            </w:r>
          </w:p>
        </w:tc>
        <w:tc>
          <w:tcPr>
            <w:tcW w:type="dxa" w:w="43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Description / Mode de calcul</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Brevets accordés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de brevets avec statut "accordé"</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Brevets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Dépôts en cours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de titres PI en cours d'examen</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Brevets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CA prestations (MAD)</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Chiffre d'affaires total des contrats de prestation</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Prestations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43D"/>
                <w:sz w:val="20"/>
                <w:szCs w:val="20"/>
              </w:rPr>
              <w:t xml:space="preserve">Collaborations actives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de partenariats avec statut "actif"</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2B4A"/>
                <w:sz w:val="20"/>
                <w:szCs w:val="20"/>
              </w:rPr>
              <w:t xml:space="preserve">Collaborations</w:t>
            </w:r>
          </w:p>
        </w:tc>
      </w:tr>
    </w:tbl>
    <w:p>
      <w:r>
        <w:br w:type="page"/>
      </w:r>
    </w:p>
    <w:p>
      <w:pPr>
        <w:pStyle w:val="Heading1"/>
        <w:shd w:fill="1A2B4A" w:val="clear"/>
        <w:spacing w:after="200" w:before="400"/>
        <w:ind w:left="200" w:right="200"/>
      </w:pPr>
      <w:r>
        <w:rPr>
          <w:rFonts w:ascii="Arial" w:cs="Arial" w:eastAsia="Arial" w:hAnsi="Arial"/>
          <w:b/>
          <w:bCs/>
          <w:color w:val="FFFFFF"/>
          <w:sz w:val="28"/>
          <w:szCs w:val="28"/>
        </w:rPr>
        <w:t xml:space="preserve">5. Workflows Utilisateurs</w:t>
      </w:r>
    </w:p>
    <w:p>
      <w:pPr>
        <w:pStyle w:val="Heading2"/>
        <w:pBdr>
          <w:bottom w:val="single" w:color="00843D" w:sz="6"/>
        </w:pBdr>
        <w:spacing w:after="120" w:before="300"/>
      </w:pPr>
      <w:r>
        <w:rPr>
          <w:rFonts w:ascii="Arial" w:cs="Arial" w:eastAsia="Arial" w:hAnsi="Arial"/>
          <w:b/>
          <w:bCs/>
          <w:color w:val="1A2B4A"/>
          <w:sz w:val="24"/>
          <w:szCs w:val="24"/>
        </w:rPr>
        <w:t xml:space="preserve">5.1 Workflow du Chercheur</w:t>
      </w:r>
    </w:p>
    <w:p>
      <w:pPr>
        <w:spacing w:after="120"/>
        <w:ind w:left="0"/>
      </w:pPr>
      <w:r>
        <w:rPr>
          <w:rFonts w:ascii="Arial" w:cs="Arial" w:eastAsia="Arial" w:hAnsi="Arial"/>
          <w:sz w:val="22"/>
          <w:szCs w:val="22"/>
        </w:rPr>
        <w:t xml:space="preserve">Flux standard d'un chercheur utilisant la plateforme au quotidien :</w:t>
      </w:r>
    </w:p>
    <w:p>
      <w:pPr>
        <w:pStyle w:val="ListParagraph"/>
        <w:numPr>
          <w:ilvl w:val="0"/>
          <w:numId w:val="2"/>
        </w:numPr>
        <w:spacing w:after="80"/>
      </w:pPr>
      <w:r>
        <w:rPr>
          <w:rFonts w:ascii="Arial" w:cs="Arial" w:eastAsia="Arial" w:hAnsi="Arial"/>
          <w:sz w:val="22"/>
          <w:szCs w:val="22"/>
        </w:rPr>
        <w:t xml:space="preserve">1. Connexion avec ses identifiants institutionnels</w:t>
      </w:r>
    </w:p>
    <w:p>
      <w:pPr>
        <w:pStyle w:val="ListParagraph"/>
        <w:numPr>
          <w:ilvl w:val="0"/>
          <w:numId w:val="2"/>
        </w:numPr>
        <w:spacing w:after="80"/>
      </w:pPr>
      <w:r>
        <w:rPr>
          <w:rFonts w:ascii="Arial" w:cs="Arial" w:eastAsia="Arial" w:hAnsi="Arial"/>
          <w:sz w:val="22"/>
          <w:szCs w:val="22"/>
        </w:rPr>
        <w:t xml:space="preserve">2. Consultation du tableau de bord personnel</w:t>
      </w:r>
    </w:p>
    <w:p>
      <w:pPr>
        <w:pStyle w:val="ListParagraph"/>
        <w:numPr>
          <w:ilvl w:val="0"/>
          <w:numId w:val="2"/>
        </w:numPr>
        <w:spacing w:after="80"/>
      </w:pPr>
      <w:r>
        <w:rPr>
          <w:rFonts w:ascii="Arial" w:cs="Arial" w:eastAsia="Arial" w:hAnsi="Arial"/>
          <w:sz w:val="22"/>
          <w:szCs w:val="22"/>
        </w:rPr>
        <w:t xml:space="preserve">3. Saisie d'une nouvelle activité (publication, projet, etc.)</w:t>
      </w:r>
    </w:p>
    <w:p>
      <w:pPr>
        <w:pStyle w:val="ListParagraph"/>
        <w:numPr>
          <w:ilvl w:val="0"/>
          <w:numId w:val="2"/>
        </w:numPr>
        <w:spacing w:after="80"/>
      </w:pPr>
      <w:r>
        <w:rPr>
          <w:rFonts w:ascii="Arial" w:cs="Arial" w:eastAsia="Arial" w:hAnsi="Arial"/>
          <w:sz w:val="22"/>
          <w:szCs w:val="22"/>
        </w:rPr>
        <w:t xml:space="preserve">4. Mise à jour automatique du tableau de bord et des KPI</w:t>
      </w:r>
    </w:p>
    <w:p>
      <w:pPr>
        <w:pStyle w:val="ListParagraph"/>
        <w:numPr>
          <w:ilvl w:val="0"/>
          <w:numId w:val="2"/>
        </w:numPr>
        <w:spacing w:after="80"/>
      </w:pPr>
      <w:r>
        <w:rPr>
          <w:rFonts w:ascii="Arial" w:cs="Arial" w:eastAsia="Arial" w:hAnsi="Arial"/>
          <w:sz w:val="22"/>
          <w:szCs w:val="22"/>
        </w:rPr>
        <w:t xml:space="preserve">5. Consultation des prévisions et suivi des écarts</w:t>
      </w:r>
    </w:p>
    <w:p>
      <w:pPr>
        <w:pStyle w:val="ListParagraph"/>
        <w:numPr>
          <w:ilvl w:val="0"/>
          <w:numId w:val="2"/>
        </w:numPr>
        <w:spacing w:after="80"/>
      </w:pPr>
      <w:r>
        <w:rPr>
          <w:rFonts w:ascii="Arial" w:cs="Arial" w:eastAsia="Arial" w:hAnsi="Arial"/>
          <w:sz w:val="22"/>
          <w:szCs w:val="22"/>
        </w:rPr>
        <w:t xml:space="preserve">6. Export d'un rapport en PDF ou Excel</w:t>
      </w:r>
    </w:p>
    <w:p>
      <w:pPr>
        <w:pStyle w:val="ListParagraph"/>
        <w:numPr>
          <w:ilvl w:val="0"/>
          <w:numId w:val="2"/>
        </w:numPr>
        <w:spacing w:after="80"/>
      </w:pPr>
      <w:r>
        <w:rPr>
          <w:rFonts w:ascii="Arial" w:cs="Arial" w:eastAsia="Arial" w:hAnsi="Arial"/>
          <w:sz w:val="22"/>
          <w:szCs w:val="22"/>
        </w:rPr>
        <w:t xml:space="preserve">7. Déconnexion</w:t>
      </w:r>
    </w:p>
    <w:p>
      <w:pPr>
        <w:pStyle w:val="Heading2"/>
        <w:pBdr>
          <w:bottom w:val="single" w:color="00843D" w:sz="6"/>
        </w:pBdr>
        <w:spacing w:after="120" w:before="300"/>
      </w:pPr>
      <w:r>
        <w:rPr>
          <w:rFonts w:ascii="Arial" w:cs="Arial" w:eastAsia="Arial" w:hAnsi="Arial"/>
          <w:b/>
          <w:bCs/>
          <w:color w:val="1A2B4A"/>
          <w:sz w:val="24"/>
          <w:szCs w:val="24"/>
        </w:rPr>
        <w:t xml:space="preserve">5.2 Workflow de l'Administrateur</w:t>
      </w:r>
    </w:p>
    <w:p>
      <w:pPr>
        <w:pStyle w:val="ListParagraph"/>
        <w:numPr>
          <w:ilvl w:val="0"/>
          <w:numId w:val="2"/>
        </w:numPr>
        <w:spacing w:after="80"/>
      </w:pPr>
      <w:r>
        <w:rPr>
          <w:rFonts w:ascii="Arial" w:cs="Arial" w:eastAsia="Arial" w:hAnsi="Arial"/>
          <w:sz w:val="22"/>
          <w:szCs w:val="22"/>
        </w:rPr>
        <w:t xml:space="preserve">1. Connexion avec les droits d'administrateur</w:t>
      </w:r>
    </w:p>
    <w:p>
      <w:pPr>
        <w:pStyle w:val="ListParagraph"/>
        <w:numPr>
          <w:ilvl w:val="0"/>
          <w:numId w:val="2"/>
        </w:numPr>
        <w:spacing w:after="80"/>
      </w:pPr>
      <w:r>
        <w:rPr>
          <w:rFonts w:ascii="Arial" w:cs="Arial" w:eastAsia="Arial" w:hAnsi="Arial"/>
          <w:sz w:val="22"/>
          <w:szCs w:val="22"/>
        </w:rPr>
        <w:t xml:space="preserve">2. Accès au module Administration</w:t>
      </w:r>
    </w:p>
    <w:p>
      <w:pPr>
        <w:pStyle w:val="ListParagraph"/>
        <w:numPr>
          <w:ilvl w:val="0"/>
          <w:numId w:val="2"/>
        </w:numPr>
        <w:spacing w:after="80"/>
      </w:pPr>
      <w:r>
        <w:rPr>
          <w:rFonts w:ascii="Arial" w:cs="Arial" w:eastAsia="Arial" w:hAnsi="Arial"/>
          <w:sz w:val="22"/>
          <w:szCs w:val="22"/>
        </w:rPr>
        <w:t xml:space="preserve">3. Consultation des statistiques globales consolidées</w:t>
      </w:r>
    </w:p>
    <w:p>
      <w:pPr>
        <w:pStyle w:val="ListParagraph"/>
        <w:numPr>
          <w:ilvl w:val="0"/>
          <w:numId w:val="2"/>
        </w:numPr>
        <w:spacing w:after="80"/>
      </w:pPr>
      <w:r>
        <w:rPr>
          <w:rFonts w:ascii="Arial" w:cs="Arial" w:eastAsia="Arial" w:hAnsi="Arial"/>
          <w:sz w:val="22"/>
          <w:szCs w:val="22"/>
        </w:rPr>
        <w:t xml:space="preserve">4. Gestion des utilisateurs (rôles, activation, désactivation)</w:t>
      </w:r>
    </w:p>
    <w:p>
      <w:pPr>
        <w:pStyle w:val="ListParagraph"/>
        <w:numPr>
          <w:ilvl w:val="0"/>
          <w:numId w:val="2"/>
        </w:numPr>
        <w:spacing w:after="80"/>
      </w:pPr>
      <w:r>
        <w:rPr>
          <w:rFonts w:ascii="Arial" w:cs="Arial" w:eastAsia="Arial" w:hAnsi="Arial"/>
          <w:sz w:val="22"/>
          <w:szCs w:val="22"/>
        </w:rPr>
        <w:t xml:space="preserve">5. Consultation des données de n'importe quel chercheur</w:t>
      </w:r>
    </w:p>
    <w:p>
      <w:pPr>
        <w:pStyle w:val="ListParagraph"/>
        <w:numPr>
          <w:ilvl w:val="0"/>
          <w:numId w:val="2"/>
        </w:numPr>
        <w:spacing w:after="80"/>
      </w:pPr>
      <w:r>
        <w:rPr>
          <w:rFonts w:ascii="Arial" w:cs="Arial" w:eastAsia="Arial" w:hAnsi="Arial"/>
          <w:sz w:val="22"/>
          <w:szCs w:val="22"/>
        </w:rPr>
        <w:t xml:space="preserve">6. Export des rapports institutionnels</w:t>
      </w:r>
    </w:p>
    <w:p>
      <w:pPr>
        <w:pStyle w:val="Heading2"/>
        <w:pBdr>
          <w:bottom w:val="single" w:color="00843D" w:sz="6"/>
        </w:pBdr>
        <w:spacing w:after="120" w:before="300"/>
      </w:pPr>
      <w:r>
        <w:rPr>
          <w:rFonts w:ascii="Arial" w:cs="Arial" w:eastAsia="Arial" w:hAnsi="Arial"/>
          <w:b/>
          <w:bCs/>
          <w:color w:val="1A2B4A"/>
          <w:sz w:val="24"/>
          <w:szCs w:val="24"/>
        </w:rPr>
        <w:t xml:space="preserve">5.3 Cycle annuel</w:t>
      </w:r>
    </w:p>
    <w:p>
      <w:pPr>
        <w:pStyle w:val="ListParagraph"/>
        <w:numPr>
          <w:ilvl w:val="0"/>
          <w:numId w:val="2"/>
        </w:numPr>
        <w:spacing w:after="80"/>
      </w:pPr>
      <w:r>
        <w:rPr>
          <w:rFonts w:ascii="Arial" w:cs="Arial" w:eastAsia="Arial" w:hAnsi="Arial"/>
          <w:sz w:val="22"/>
          <w:szCs w:val="22"/>
        </w:rPr>
        <w:t xml:space="preserve">Début d'année : définition des prévisions KPI par le chercheur</w:t>
      </w:r>
    </w:p>
    <w:p>
      <w:pPr>
        <w:pStyle w:val="ListParagraph"/>
        <w:numPr>
          <w:ilvl w:val="0"/>
          <w:numId w:val="2"/>
        </w:numPr>
        <w:spacing w:after="80"/>
      </w:pPr>
      <w:r>
        <w:rPr>
          <w:rFonts w:ascii="Arial" w:cs="Arial" w:eastAsia="Arial" w:hAnsi="Arial"/>
          <w:sz w:val="22"/>
          <w:szCs w:val="22"/>
        </w:rPr>
        <w:t xml:space="preserve">Mi-année : révision des prévisions S1, mise à jour des réalisations</w:t>
      </w:r>
    </w:p>
    <w:p>
      <w:pPr>
        <w:pStyle w:val="ListParagraph"/>
        <w:numPr>
          <w:ilvl w:val="0"/>
          <w:numId w:val="2"/>
        </w:numPr>
        <w:spacing w:after="80"/>
      </w:pPr>
      <w:r>
        <w:rPr>
          <w:rFonts w:ascii="Arial" w:cs="Arial" w:eastAsia="Arial" w:hAnsi="Arial"/>
          <w:sz w:val="22"/>
          <w:szCs w:val="22"/>
        </w:rPr>
        <w:t xml:space="preserve">Fin d'année : analyse des écarts, justifications si nécessaire, rapport annuel</w:t>
      </w:r>
    </w:p>
    <w:p>
      <w:r>
        <w:br w:type="page"/>
      </w:r>
    </w:p>
    <w:p>
      <w:pPr>
        <w:pStyle w:val="Heading1"/>
        <w:shd w:fill="1A2B4A" w:val="clear"/>
        <w:spacing w:after="200" w:before="400"/>
        <w:ind w:left="200" w:right="200"/>
      </w:pPr>
      <w:r>
        <w:rPr>
          <w:rFonts w:ascii="Arial" w:cs="Arial" w:eastAsia="Arial" w:hAnsi="Arial"/>
          <w:b/>
          <w:bCs/>
          <w:color w:val="FFFFFF"/>
          <w:sz w:val="28"/>
          <w:szCs w:val="28"/>
        </w:rPr>
        <w:t xml:space="preserve">6. Rôles et Droits d'Accès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500"/>
      </w:tblGrid>
      <w:tr>
        <w:tc>
          <w:tcPr>
            <w:tcW w:type="dxa" w:w="25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Chercheur</w:t>
            </w:r>
          </w:p>
        </w:tc>
        <w:tc>
          <w:tcPr>
            <w:tcW w:type="dxa" w:w="25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Administrateur</w:t>
            </w:r>
          </w:p>
        </w:tc>
        <w:tc>
          <w:tcPr>
            <w:tcW w:type="dxa" w:w="25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Observateur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Voir son profil</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Saisir ses activités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Modifier ses données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Voir son tableau de bord</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Définir ses prévisions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Voir les données de tous</w:t>
            </w:r>
          </w:p>
        </w:tc>
        <w:tc>
          <w:tcPr>
            <w:tcW w:type="dxa" w:w="20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Gérer les utilisateurs</w:t>
            </w:r>
          </w:p>
        </w:tc>
        <w:tc>
          <w:tcPr>
            <w:tcW w:type="dxa" w:w="20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Exporter les données</w:t>
            </w:r>
          </w:p>
        </w:tc>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Accès à l'administration</w:t>
            </w:r>
          </w:p>
        </w:tc>
        <w:tc>
          <w:tcPr>
            <w:tcW w:type="dxa" w:w="20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vAlign w:val="center"/>
          </w:tcPr>
          <w:p>
            <w:pPr>
              <w:jc w:val="center"/>
            </w:pPr>
            <w:r>
              <w:rPr>
                <w:rFonts w:ascii="Arial" w:cs="Arial" w:eastAsia="Arial" w:hAnsi="Arial"/>
                <w:b/>
                <w:bCs/>
                <w:color w:val="00843D"/>
                <w:sz w:val="20"/>
                <w:szCs w:val="20"/>
              </w:rPr>
              <w:t xml:space="preserve">✓</w:t>
            </w:r>
          </w:p>
        </w:tc>
        <w:tc>
          <w:tcPr>
            <w:tcW w:type="dxa" w:w="2500"/>
            <w:tcBorders>
              <w:top w:val="single" w:color="CCCCCC" w:sz="1"/>
              <w:left w:val="single" w:color="CCCCCC" w:sz="1"/>
              <w:bottom w:val="single" w:color="CCCCCC" w:sz="1"/>
              <w:right w:val="single" w:color="CCCCCC" w:sz="1"/>
            </w:tcBorders>
            <w:shd w:fill="FFEEEE"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w:t>
            </w:r>
          </w:p>
        </w:tc>
      </w:tr>
    </w:tbl>
    <w:p>
      <w:r>
        <w:br w:type="page"/>
      </w:r>
    </w:p>
    <w:p>
      <w:pPr>
        <w:pStyle w:val="Heading1"/>
        <w:shd w:fill="1A2B4A" w:val="clear"/>
        <w:spacing w:after="200" w:before="400"/>
        <w:ind w:left="200" w:right="200"/>
      </w:pPr>
      <w:r>
        <w:rPr>
          <w:rFonts w:ascii="Arial" w:cs="Arial" w:eastAsia="Arial" w:hAnsi="Arial"/>
          <w:b/>
          <w:bCs/>
          <w:color w:val="FFFFFF"/>
          <w:sz w:val="28"/>
          <w:szCs w:val="28"/>
        </w:rPr>
        <w:t xml:space="preserve">7. Automatisations et Règles Métier</w:t>
      </w:r>
    </w:p>
    <w:p>
      <w:pPr>
        <w:pStyle w:val="Heading2"/>
        <w:pBdr>
          <w:bottom w:val="single" w:color="00843D" w:sz="6"/>
        </w:pBdr>
        <w:spacing w:after="120" w:before="300"/>
      </w:pPr>
      <w:r>
        <w:rPr>
          <w:rFonts w:ascii="Arial" w:cs="Arial" w:eastAsia="Arial" w:hAnsi="Arial"/>
          <w:b/>
          <w:bCs/>
          <w:color w:val="1A2B4A"/>
          <w:sz w:val="24"/>
          <w:szCs w:val="24"/>
        </w:rPr>
        <w:t xml:space="preserve">7.1 Calculs automatiques</w:t>
      </w:r>
    </w:p>
    <w:p>
      <w:pPr>
        <w:pStyle w:val="ListParagraph"/>
        <w:numPr>
          <w:ilvl w:val="0"/>
          <w:numId w:val="2"/>
        </w:numPr>
        <w:spacing w:after="80"/>
      </w:pPr>
      <w:r>
        <w:rPr>
          <w:rFonts w:ascii="Arial" w:cs="Arial" w:eastAsia="Arial" w:hAnsi="Arial"/>
          <w:sz w:val="22"/>
          <w:szCs w:val="22"/>
        </w:rPr>
        <w:t xml:space="preserve">KPI réalisés : tous les indicateurs de performance sont calculés en temps réel à partir des données des modules</w:t>
      </w:r>
    </w:p>
    <w:p>
      <w:pPr>
        <w:pStyle w:val="ListParagraph"/>
        <w:numPr>
          <w:ilvl w:val="0"/>
          <w:numId w:val="2"/>
        </w:numPr>
        <w:spacing w:after="80"/>
      </w:pPr>
      <w:r>
        <w:rPr>
          <w:rFonts w:ascii="Arial" w:cs="Arial" w:eastAsia="Arial" w:hAnsi="Arial"/>
          <w:sz w:val="22"/>
          <w:szCs w:val="22"/>
        </w:rPr>
        <w:t xml:space="preserve">Écarts prévisions/réalisations : la différence et le pourcentage d'écart sont calculés automatiquement</w:t>
      </w:r>
    </w:p>
    <w:p>
      <w:pPr>
        <w:pStyle w:val="ListParagraph"/>
        <w:numPr>
          <w:ilvl w:val="0"/>
          <w:numId w:val="2"/>
        </w:numPr>
        <w:spacing w:after="80"/>
      </w:pPr>
      <w:r>
        <w:rPr>
          <w:rFonts w:ascii="Arial" w:cs="Arial" w:eastAsia="Arial" w:hAnsi="Arial"/>
          <w:sz w:val="22"/>
          <w:szCs w:val="22"/>
        </w:rPr>
        <w:t xml:space="preserve">Budget UM6P : la part UM6P est calculée automatiquement à partir du budget total et d'un taux paramétrable</w:t>
      </w:r>
    </w:p>
    <w:p>
      <w:pPr>
        <w:pStyle w:val="ListParagraph"/>
        <w:numPr>
          <w:ilvl w:val="0"/>
          <w:numId w:val="2"/>
        </w:numPr>
        <w:spacing w:after="80"/>
      </w:pPr>
      <w:r>
        <w:rPr>
          <w:rFonts w:ascii="Arial" w:cs="Arial" w:eastAsia="Arial" w:hAnsi="Arial"/>
          <w:sz w:val="22"/>
          <w:szCs w:val="22"/>
        </w:rPr>
        <w:t xml:space="preserve">Totaux de formation : les heures totales par type et par semestre sont agrégées automatiquement</w:t>
      </w:r>
    </w:p>
    <w:p>
      <w:pPr>
        <w:pStyle w:val="ListParagraph"/>
        <w:numPr>
          <w:ilvl w:val="0"/>
          <w:numId w:val="2"/>
        </w:numPr>
        <w:spacing w:after="80"/>
      </w:pPr>
      <w:r>
        <w:rPr>
          <w:rFonts w:ascii="Arial" w:cs="Arial" w:eastAsia="Arial" w:hAnsi="Arial"/>
          <w:sz w:val="22"/>
          <w:szCs w:val="22"/>
        </w:rPr>
        <w:t xml:space="preserve">Statistiques dashboard : toutes les statistiques de la page d'accueil sont calculées à partir des données réelles</w:t>
      </w:r>
    </w:p>
    <w:p>
      <w:pPr>
        <w:pStyle w:val="Heading2"/>
        <w:pBdr>
          <w:bottom w:val="single" w:color="00843D" w:sz="6"/>
        </w:pBdr>
        <w:spacing w:after="120" w:before="300"/>
      </w:pPr>
      <w:r>
        <w:rPr>
          <w:rFonts w:ascii="Arial" w:cs="Arial" w:eastAsia="Arial" w:hAnsi="Arial"/>
          <w:b/>
          <w:bCs/>
          <w:color w:val="1A2B4A"/>
          <w:sz w:val="24"/>
          <w:szCs w:val="24"/>
        </w:rPr>
        <w:t xml:space="preserve">7.2 Règles métier</w:t>
      </w:r>
    </w:p>
    <w:p>
      <w:pPr>
        <w:pStyle w:val="ListParagraph"/>
        <w:numPr>
          <w:ilvl w:val="0"/>
          <w:numId w:val="2"/>
        </w:numPr>
        <w:spacing w:after="80"/>
      </w:pPr>
      <w:r>
        <w:rPr>
          <w:rFonts w:ascii="Arial" w:cs="Arial" w:eastAsia="Arial" w:hAnsi="Arial"/>
          <w:sz w:val="22"/>
          <w:szCs w:val="22"/>
        </w:rPr>
        <w:t xml:space="preserve">Justification obligatoire : si l'écart entre réalisé et prévu dépasse ±20%, le chercheur doit saisir une justification</w:t>
      </w:r>
    </w:p>
    <w:p>
      <w:pPr>
        <w:pStyle w:val="ListParagraph"/>
        <w:numPr>
          <w:ilvl w:val="0"/>
          <w:numId w:val="2"/>
        </w:numPr>
        <w:spacing w:after="80"/>
      </w:pPr>
      <w:r>
        <w:rPr>
          <w:rFonts w:ascii="Arial" w:cs="Arial" w:eastAsia="Arial" w:hAnsi="Arial"/>
          <w:sz w:val="22"/>
          <w:szCs w:val="22"/>
        </w:rPr>
        <w:t xml:space="preserve">DOI unique : une publication avec un DOI déjà existant déclenche un avertissement</w:t>
      </w:r>
    </w:p>
    <w:p>
      <w:pPr>
        <w:pStyle w:val="ListParagraph"/>
        <w:numPr>
          <w:ilvl w:val="0"/>
          <w:numId w:val="2"/>
        </w:numPr>
        <w:spacing w:after="80"/>
      </w:pPr>
      <w:r>
        <w:rPr>
          <w:rFonts w:ascii="Arial" w:cs="Arial" w:eastAsia="Arial" w:hAnsi="Arial"/>
          <w:sz w:val="22"/>
          <w:szCs w:val="22"/>
        </w:rPr>
        <w:t xml:space="preserve">Profil automatique : à la création d'un compte, un profil est automatiquement créé dans la base de données</w:t>
      </w:r>
    </w:p>
    <w:p>
      <w:pPr>
        <w:pStyle w:val="ListParagraph"/>
        <w:numPr>
          <w:ilvl w:val="0"/>
          <w:numId w:val="2"/>
        </w:numPr>
        <w:spacing w:after="80"/>
      </w:pPr>
      <w:r>
        <w:rPr>
          <w:rFonts w:ascii="Arial" w:cs="Arial" w:eastAsia="Arial" w:hAnsi="Arial"/>
          <w:sz w:val="22"/>
          <w:szCs w:val="22"/>
        </w:rPr>
        <w:t xml:space="preserve">Rôle par défaut : tout nouvel utilisateur reçoit automatiquement le rôle 'chercheur'</w:t>
      </w:r>
    </w:p>
    <w:p>
      <w:pPr>
        <w:pStyle w:val="ListParagraph"/>
        <w:numPr>
          <w:ilvl w:val="0"/>
          <w:numId w:val="2"/>
        </w:numPr>
        <w:spacing w:after="80"/>
      </w:pPr>
      <w:r>
        <w:rPr>
          <w:rFonts w:ascii="Arial" w:cs="Arial" w:eastAsia="Arial" w:hAnsi="Arial"/>
          <w:sz w:val="22"/>
          <w:szCs w:val="22"/>
        </w:rPr>
        <w:t xml:space="preserve">Horodatage : chaque enregistrement est automatiquement horodaté à la création et à la modification</w:t>
      </w:r>
    </w:p>
    <w:p>
      <w:pPr>
        <w:pStyle w:val="Heading2"/>
        <w:pBdr>
          <w:bottom w:val="single" w:color="00843D" w:sz="6"/>
        </w:pBdr>
        <w:spacing w:after="120" w:before="300"/>
      </w:pPr>
      <w:r>
        <w:rPr>
          <w:rFonts w:ascii="Arial" w:cs="Arial" w:eastAsia="Arial" w:hAnsi="Arial"/>
          <w:b/>
          <w:bCs/>
          <w:color w:val="1A2B4A"/>
          <w:sz w:val="24"/>
          <w:szCs w:val="24"/>
        </w:rPr>
        <w:t xml:space="preserve">7.3 Intégrations externes</w:t>
      </w:r>
    </w:p>
    <w:p>
      <w:pPr>
        <w:pStyle w:val="ListParagraph"/>
        <w:numPr>
          <w:ilvl w:val="0"/>
          <w:numId w:val="2"/>
        </w:numPr>
        <w:spacing w:after="80"/>
      </w:pPr>
      <w:r>
        <w:rPr>
          <w:rFonts w:ascii="Arial" w:cs="Arial" w:eastAsia="Arial" w:hAnsi="Arial"/>
          <w:sz w:val="22"/>
          <w:szCs w:val="22"/>
        </w:rPr>
        <w:t xml:space="preserve">API Crossref : lors de la saisie d'un DOI, une requête automatique est envoyée à l'API Crossref pour récupérer les métadonnées de la publication (titre, auteurs, revue, année, volume, pages)</w:t>
      </w:r>
    </w:p>
    <w:p>
      <w:pPr>
        <w:pStyle w:val="ListParagraph"/>
        <w:numPr>
          <w:ilvl w:val="0"/>
          <w:numId w:val="2"/>
        </w:numPr>
        <w:spacing w:after="80"/>
      </w:pPr>
      <w:r>
        <w:rPr>
          <w:rFonts w:ascii="Arial" w:cs="Arial" w:eastAsia="Arial" w:hAnsi="Arial"/>
          <w:sz w:val="22"/>
          <w:szCs w:val="22"/>
        </w:rPr>
        <w:t xml:space="preserve">Cette intégration réduit considérablement le temps de saisie et les erreurs pour les publications</w:t>
      </w:r>
    </w:p>
    <w:p>
      <w:r>
        <w:br w:type="page"/>
      </w:r>
    </w:p>
    <w:p>
      <w:pPr>
        <w:pStyle w:val="Heading1"/>
        <w:shd w:fill="1A2B4A" w:val="clear"/>
        <w:spacing w:after="200" w:before="400"/>
        <w:ind w:left="200" w:right="200"/>
      </w:pPr>
      <w:r>
        <w:rPr>
          <w:rFonts w:ascii="Arial" w:cs="Arial" w:eastAsia="Arial" w:hAnsi="Arial"/>
          <w:b/>
          <w:bCs/>
          <w:color w:val="FFFFFF"/>
          <w:sz w:val="28"/>
          <w:szCs w:val="28"/>
        </w:rPr>
        <w:t xml:space="preserve">8. Structure des Données</w:t>
      </w:r>
    </w:p>
    <w:p>
      <w:pPr>
        <w:pStyle w:val="Heading2"/>
        <w:pBdr>
          <w:bottom w:val="single" w:color="00843D" w:sz="6"/>
        </w:pBdr>
        <w:spacing w:after="120" w:before="300"/>
      </w:pPr>
      <w:r>
        <w:rPr>
          <w:rFonts w:ascii="Arial" w:cs="Arial" w:eastAsia="Arial" w:hAnsi="Arial"/>
          <w:b/>
          <w:bCs/>
          <w:color w:val="1A2B4A"/>
          <w:sz w:val="24"/>
          <w:szCs w:val="24"/>
        </w:rPr>
        <w:t xml:space="preserve">8.1 Principes de conception</w:t>
      </w:r>
    </w:p>
    <w:p>
      <w:pPr>
        <w:spacing w:after="120"/>
        <w:ind w:left="0"/>
      </w:pPr>
      <w:r>
        <w:rPr>
          <w:rFonts w:ascii="Arial" w:cs="Arial" w:eastAsia="Arial" w:hAnsi="Arial"/>
          <w:sz w:val="22"/>
          <w:szCs w:val="22"/>
        </w:rPr>
        <w:t xml:space="preserve">La base de données PostgreSQL est conçue selon les principes de normalisation relationnelle (3NF) pour éviter la redondance, garantir l'intégrité des données et faciliter les requêtes agrégées.</w:t>
      </w:r>
    </w:p>
    <w:p>
      <w:pPr>
        <w:pStyle w:val="Heading2"/>
        <w:pBdr>
          <w:bottom w:val="single" w:color="00843D" w:sz="6"/>
        </w:pBdr>
        <w:spacing w:after="120" w:before="300"/>
      </w:pPr>
      <w:r>
        <w:rPr>
          <w:rFonts w:ascii="Arial" w:cs="Arial" w:eastAsia="Arial" w:hAnsi="Arial"/>
          <w:b/>
          <w:bCs/>
          <w:color w:val="1A2B4A"/>
          <w:sz w:val="24"/>
          <w:szCs w:val="24"/>
        </w:rPr>
        <w:t xml:space="preserve">8.2 Tables principales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c>
          <w:tcPr>
            <w:tcW w:type="dxa" w:w="25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Relations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profiles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Données personnelles et académiques du chercheur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Liée à auth.users (Supabase)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academic_years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Années académiques (ex: 2024-2025)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Référencée par tous les modules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publications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Articles, livres, conférences publiés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researcher_id → profiles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projects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Projets de recherche avec budget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researcher_id → profiles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trainings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Heures d'enseignement par semestre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researcher_id → profiles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supervisions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Étudiants encadrés (doctorants, masters...)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researcher_id → profiles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communications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Conférences, séminaires, médias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researcher_id → profiles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patents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Brevets et propriété intellectuelle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researcher_id → profiles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services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Prestations et contrats industriels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researcher_id → profiles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collaborations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Partenariats académiques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researcher_id → profiles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expertise_activities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Jurys, peer-review, comités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researcher_id → profiles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forecasts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Prévisions et réalisations KPI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researcher_id → profiles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Courier New" w:cs="Courier New" w:eastAsia="Courier New" w:hAnsi="Courier New"/>
                <w:b/>
                <w:bCs/>
                <w:color w:val="00843D"/>
                <w:sz w:val="18"/>
                <w:szCs w:val="18"/>
              </w:rPr>
              <w:t xml:space="preserve">documents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Références de fichiers (Supabase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8"/>
                <w:szCs w:val="18"/>
              </w:rPr>
              <w:t xml:space="preserve">researcher_id → profiles</w:t>
            </w:r>
          </w:p>
        </w:tc>
      </w:tr>
    </w:tbl>
    <w:p>
      <w:pPr>
        <w:spacing w:after="200"/>
      </w:pPr>
    </w:p>
    <w:p>
      <w:pPr>
        <w:pStyle w:val="Heading2"/>
        <w:pBdr>
          <w:bottom w:val="single" w:color="00843D" w:sz="6"/>
        </w:pBdr>
        <w:spacing w:after="120" w:before="300"/>
      </w:pPr>
      <w:r>
        <w:rPr>
          <w:rFonts w:ascii="Arial" w:cs="Arial" w:eastAsia="Arial" w:hAnsi="Arial"/>
          <w:b/>
          <w:bCs/>
          <w:color w:val="1A2B4A"/>
          <w:sz w:val="24"/>
          <w:szCs w:val="24"/>
        </w:rPr>
        <w:t xml:space="preserve">8.3 Sécurité des données</w:t>
      </w:r>
    </w:p>
    <w:p>
      <w:pPr>
        <w:pStyle w:val="ListParagraph"/>
        <w:numPr>
          <w:ilvl w:val="0"/>
          <w:numId w:val="2"/>
        </w:numPr>
        <w:spacing w:after="80"/>
      </w:pPr>
      <w:r>
        <w:rPr>
          <w:rFonts w:ascii="Arial" w:cs="Arial" w:eastAsia="Arial" w:hAnsi="Arial"/>
          <w:sz w:val="22"/>
          <w:szCs w:val="22"/>
        </w:rPr>
        <w:t xml:space="preserve">Row Level Security (RLS) : chaque utilisateur ne peut accéder qu'à ses propres données</w:t>
      </w:r>
    </w:p>
    <w:p>
      <w:pPr>
        <w:pStyle w:val="ListParagraph"/>
        <w:numPr>
          <w:ilvl w:val="0"/>
          <w:numId w:val="2"/>
        </w:numPr>
        <w:spacing w:after="80"/>
      </w:pPr>
      <w:r>
        <w:rPr>
          <w:rFonts w:ascii="Arial" w:cs="Arial" w:eastAsia="Arial" w:hAnsi="Arial"/>
          <w:sz w:val="22"/>
          <w:szCs w:val="22"/>
        </w:rPr>
        <w:t xml:space="preserve">Les administrateurs disposent d'un accès complet à toutes les données</w:t>
      </w:r>
    </w:p>
    <w:p>
      <w:pPr>
        <w:pStyle w:val="ListParagraph"/>
        <w:numPr>
          <w:ilvl w:val="0"/>
          <w:numId w:val="2"/>
        </w:numPr>
        <w:spacing w:after="80"/>
      </w:pPr>
      <w:r>
        <w:rPr>
          <w:rFonts w:ascii="Arial" w:cs="Arial" w:eastAsia="Arial" w:hAnsi="Arial"/>
          <w:sz w:val="22"/>
          <w:szCs w:val="22"/>
        </w:rPr>
        <w:t xml:space="preserve">Toutes les communications sont chiffrées (HTTPS / TLS)</w:t>
      </w:r>
    </w:p>
    <w:p>
      <w:pPr>
        <w:pStyle w:val="ListParagraph"/>
        <w:numPr>
          <w:ilvl w:val="0"/>
          <w:numId w:val="2"/>
        </w:numPr>
        <w:spacing w:after="80"/>
      </w:pPr>
      <w:r>
        <w:rPr>
          <w:rFonts w:ascii="Arial" w:cs="Arial" w:eastAsia="Arial" w:hAnsi="Arial"/>
          <w:sz w:val="22"/>
          <w:szCs w:val="22"/>
        </w:rPr>
        <w:t xml:space="preserve">Les mots de passe sont hachés avec bcrypt (gérés par Supabase Auth)</w:t>
      </w:r>
    </w:p>
    <w:p>
      <w:pPr>
        <w:pStyle w:val="ListParagraph"/>
        <w:numPr>
          <w:ilvl w:val="0"/>
          <w:numId w:val="2"/>
        </w:numPr>
        <w:spacing w:after="80"/>
      </w:pPr>
      <w:r>
        <w:rPr>
          <w:rFonts w:ascii="Arial" w:cs="Arial" w:eastAsia="Arial" w:hAnsi="Arial"/>
          <w:sz w:val="22"/>
          <w:szCs w:val="22"/>
        </w:rPr>
        <w:t xml:space="preserve">Les fichiers sont stockés dans Supabase Storage avec contrôle d'accès par dossier</w:t>
      </w:r>
    </w:p>
    <w:p>
      <w:r>
        <w:br w:type="page"/>
      </w:r>
    </w:p>
    <w:p>
      <w:pPr>
        <w:pStyle w:val="Heading1"/>
        <w:shd w:fill="1A2B4A" w:val="clear"/>
        <w:spacing w:after="200" w:before="400"/>
        <w:ind w:left="200" w:right="200"/>
      </w:pPr>
      <w:r>
        <w:rPr>
          <w:rFonts w:ascii="Arial" w:cs="Arial" w:eastAsia="Arial" w:hAnsi="Arial"/>
          <w:b/>
          <w:bCs/>
          <w:color w:val="FFFFFF"/>
          <w:sz w:val="28"/>
          <w:szCs w:val="28"/>
        </w:rPr>
        <w:t xml:space="preserve">9. Interface Utilisateur</w:t>
      </w:r>
    </w:p>
    <w:p>
      <w:pPr>
        <w:pStyle w:val="Heading2"/>
        <w:pBdr>
          <w:bottom w:val="single" w:color="00843D" w:sz="6"/>
        </w:pBdr>
        <w:spacing w:after="120" w:before="300"/>
      </w:pPr>
      <w:r>
        <w:rPr>
          <w:rFonts w:ascii="Arial" w:cs="Arial" w:eastAsia="Arial" w:hAnsi="Arial"/>
          <w:b/>
          <w:bCs/>
          <w:color w:val="1A2B4A"/>
          <w:sz w:val="24"/>
          <w:szCs w:val="24"/>
        </w:rPr>
        <w:t xml:space="preserve">9.1 Principes de design</w:t>
      </w:r>
    </w:p>
    <w:p>
      <w:pPr>
        <w:pStyle w:val="ListParagraph"/>
        <w:numPr>
          <w:ilvl w:val="0"/>
          <w:numId w:val="2"/>
        </w:numPr>
        <w:spacing w:after="80"/>
      </w:pPr>
      <w:r>
        <w:rPr>
          <w:rFonts w:ascii="Arial" w:cs="Arial" w:eastAsia="Arial" w:hAnsi="Arial"/>
          <w:sz w:val="22"/>
          <w:szCs w:val="22"/>
        </w:rPr>
        <w:t xml:space="preserve">Design institutionnel : palette de couleurs UM6P (vert #00843D, marine #1A2B4A, blanc)</w:t>
      </w:r>
    </w:p>
    <w:p>
      <w:pPr>
        <w:pStyle w:val="ListParagraph"/>
        <w:numPr>
          <w:ilvl w:val="0"/>
          <w:numId w:val="2"/>
        </w:numPr>
        <w:spacing w:after="80"/>
      </w:pPr>
      <w:r>
        <w:rPr>
          <w:rFonts w:ascii="Arial" w:cs="Arial" w:eastAsia="Arial" w:hAnsi="Arial"/>
          <w:sz w:val="22"/>
          <w:szCs w:val="22"/>
        </w:rPr>
        <w:t xml:space="preserve">Interface épurée et professionnelle, adaptée à un usage institutionnel</w:t>
      </w:r>
    </w:p>
    <w:p>
      <w:pPr>
        <w:pStyle w:val="ListParagraph"/>
        <w:numPr>
          <w:ilvl w:val="0"/>
          <w:numId w:val="2"/>
        </w:numPr>
        <w:spacing w:after="80"/>
      </w:pPr>
      <w:r>
        <w:rPr>
          <w:rFonts w:ascii="Arial" w:cs="Arial" w:eastAsia="Arial" w:hAnsi="Arial"/>
          <w:sz w:val="22"/>
          <w:szCs w:val="22"/>
        </w:rPr>
        <w:t xml:space="preserve">Responsive : compatible desktop, tablette et mobile</w:t>
      </w:r>
    </w:p>
    <w:p>
      <w:pPr>
        <w:pStyle w:val="ListParagraph"/>
        <w:numPr>
          <w:ilvl w:val="0"/>
          <w:numId w:val="2"/>
        </w:numPr>
        <w:spacing w:after="80"/>
      </w:pPr>
      <w:r>
        <w:rPr>
          <w:rFonts w:ascii="Arial" w:cs="Arial" w:eastAsia="Arial" w:hAnsi="Arial"/>
          <w:sz w:val="22"/>
          <w:szCs w:val="22"/>
        </w:rPr>
        <w:t xml:space="preserve">Bilingue : interface disponible en français et en anglais</w:t>
      </w:r>
    </w:p>
    <w:p>
      <w:pPr>
        <w:pStyle w:val="ListParagraph"/>
        <w:numPr>
          <w:ilvl w:val="0"/>
          <w:numId w:val="2"/>
        </w:numPr>
        <w:spacing w:after="80"/>
      </w:pPr>
      <w:r>
        <w:rPr>
          <w:rFonts w:ascii="Arial" w:cs="Arial" w:eastAsia="Arial" w:hAnsi="Arial"/>
          <w:sz w:val="22"/>
          <w:szCs w:val="22"/>
        </w:rPr>
        <w:t xml:space="preserve">Accessibilité : contrastes conformes aux normes WCAG</w:t>
      </w:r>
    </w:p>
    <w:p>
      <w:pPr>
        <w:pStyle w:val="Heading2"/>
        <w:pBdr>
          <w:bottom w:val="single" w:color="00843D" w:sz="6"/>
        </w:pBdr>
        <w:spacing w:after="120" w:before="300"/>
      </w:pPr>
      <w:r>
        <w:rPr>
          <w:rFonts w:ascii="Arial" w:cs="Arial" w:eastAsia="Arial" w:hAnsi="Arial"/>
          <w:b/>
          <w:bCs/>
          <w:color w:val="1A2B4A"/>
          <w:sz w:val="24"/>
          <w:szCs w:val="24"/>
        </w:rPr>
        <w:t xml:space="preserve">9.2 Navigation</w:t>
      </w:r>
    </w:p>
    <w:p>
      <w:pPr>
        <w:pStyle w:val="ListParagraph"/>
        <w:numPr>
          <w:ilvl w:val="0"/>
          <w:numId w:val="2"/>
        </w:numPr>
        <w:spacing w:after="80"/>
      </w:pPr>
      <w:r>
        <w:rPr>
          <w:rFonts w:ascii="Arial" w:cs="Arial" w:eastAsia="Arial" w:hAnsi="Arial"/>
          <w:sz w:val="22"/>
          <w:szCs w:val="22"/>
        </w:rPr>
        <w:t xml:space="preserve">Sidebar (barre latérale) collapsible avec tous les modules</w:t>
      </w:r>
    </w:p>
    <w:p>
      <w:pPr>
        <w:pStyle w:val="ListParagraph"/>
        <w:numPr>
          <w:ilvl w:val="0"/>
          <w:numId w:val="2"/>
        </w:numPr>
        <w:spacing w:after="80"/>
      </w:pPr>
      <w:r>
        <w:rPr>
          <w:rFonts w:ascii="Arial" w:cs="Arial" w:eastAsia="Arial" w:hAnsi="Arial"/>
          <w:sz w:val="22"/>
          <w:szCs w:val="22"/>
        </w:rPr>
        <w:t xml:space="preserve">En-tête avec sélecteur d'année académique, changement de langue et déconnexion</w:t>
      </w:r>
    </w:p>
    <w:p>
      <w:pPr>
        <w:pStyle w:val="ListParagraph"/>
        <w:numPr>
          <w:ilvl w:val="0"/>
          <w:numId w:val="2"/>
        </w:numPr>
        <w:spacing w:after="80"/>
      </w:pPr>
      <w:r>
        <w:rPr>
          <w:rFonts w:ascii="Arial" w:cs="Arial" w:eastAsia="Arial" w:hAnsi="Arial"/>
          <w:sz w:val="22"/>
          <w:szCs w:val="22"/>
        </w:rPr>
        <w:t xml:space="preserve">Navigation contextuelle avec indication de la page active</w:t>
      </w:r>
    </w:p>
    <w:p>
      <w:pPr>
        <w:pStyle w:val="Heading2"/>
        <w:pBdr>
          <w:bottom w:val="single" w:color="00843D" w:sz="6"/>
        </w:pBdr>
        <w:spacing w:after="120" w:before="300"/>
      </w:pPr>
      <w:r>
        <w:rPr>
          <w:rFonts w:ascii="Arial" w:cs="Arial" w:eastAsia="Arial" w:hAnsi="Arial"/>
          <w:b/>
          <w:bCs/>
          <w:color w:val="1A2B4A"/>
          <w:sz w:val="24"/>
          <w:szCs w:val="24"/>
        </w:rPr>
        <w:t xml:space="preserve">9.3 Composants réutilisables</w:t>
      </w:r>
    </w:p>
    <w:p>
      <w:pPr>
        <w:pStyle w:val="ListParagraph"/>
        <w:numPr>
          <w:ilvl w:val="0"/>
          <w:numId w:val="2"/>
        </w:numPr>
        <w:spacing w:after="80"/>
      </w:pPr>
      <w:r>
        <w:rPr>
          <w:rFonts w:ascii="Arial" w:cs="Arial" w:eastAsia="Arial" w:hAnsi="Arial"/>
          <w:sz w:val="22"/>
          <w:szCs w:val="22"/>
        </w:rPr>
        <w:t xml:space="preserve">KPI Cards : cartes d'indicateurs avec barre de progression</w:t>
      </w:r>
    </w:p>
    <w:p>
      <w:pPr>
        <w:pStyle w:val="ListParagraph"/>
        <w:numPr>
          <w:ilvl w:val="0"/>
          <w:numId w:val="2"/>
        </w:numPr>
        <w:spacing w:after="80"/>
      </w:pPr>
      <w:r>
        <w:rPr>
          <w:rFonts w:ascii="Arial" w:cs="Arial" w:eastAsia="Arial" w:hAnsi="Arial"/>
          <w:sz w:val="22"/>
          <w:szCs w:val="22"/>
        </w:rPr>
        <w:t xml:space="preserve">Tableaux filtrables et paginés</w:t>
      </w:r>
    </w:p>
    <w:p>
      <w:pPr>
        <w:pStyle w:val="ListParagraph"/>
        <w:numPr>
          <w:ilvl w:val="0"/>
          <w:numId w:val="2"/>
        </w:numPr>
        <w:spacing w:after="80"/>
      </w:pPr>
      <w:r>
        <w:rPr>
          <w:rFonts w:ascii="Arial" w:cs="Arial" w:eastAsia="Arial" w:hAnsi="Arial"/>
          <w:sz w:val="22"/>
          <w:szCs w:val="22"/>
        </w:rPr>
        <w:t xml:space="preserve">Modales de saisie centrées avec validation</w:t>
      </w:r>
    </w:p>
    <w:p>
      <w:pPr>
        <w:pStyle w:val="ListParagraph"/>
        <w:numPr>
          <w:ilvl w:val="0"/>
          <w:numId w:val="2"/>
        </w:numPr>
        <w:spacing w:after="80"/>
      </w:pPr>
      <w:r>
        <w:rPr>
          <w:rFonts w:ascii="Arial" w:cs="Arial" w:eastAsia="Arial" w:hAnsi="Arial"/>
          <w:sz w:val="22"/>
          <w:szCs w:val="22"/>
        </w:rPr>
        <w:t xml:space="preserve">Badges de statut colorés (vert, orange, rouge, bleu)</w:t>
      </w:r>
    </w:p>
    <w:p>
      <w:pPr>
        <w:pStyle w:val="ListParagraph"/>
        <w:numPr>
          <w:ilvl w:val="0"/>
          <w:numId w:val="2"/>
        </w:numPr>
        <w:spacing w:after="80"/>
      </w:pPr>
      <w:r>
        <w:rPr>
          <w:rFonts w:ascii="Arial" w:cs="Arial" w:eastAsia="Arial" w:hAnsi="Arial"/>
          <w:sz w:val="22"/>
          <w:szCs w:val="22"/>
        </w:rPr>
        <w:t xml:space="preserve">Boutons d'export (PDF, Excel)</w:t>
      </w:r>
    </w:p>
    <w:p>
      <w:pPr>
        <w:pStyle w:val="ListParagraph"/>
        <w:numPr>
          <w:ilvl w:val="0"/>
          <w:numId w:val="2"/>
        </w:numPr>
        <w:spacing w:after="80"/>
      </w:pPr>
      <w:r>
        <w:rPr>
          <w:rFonts w:ascii="Arial" w:cs="Arial" w:eastAsia="Arial" w:hAnsi="Arial"/>
          <w:sz w:val="22"/>
          <w:szCs w:val="22"/>
        </w:rPr>
        <w:t xml:space="preserve">Toasts de notification (succès, erreur)</w:t>
      </w:r>
    </w:p>
    <w:p>
      <w:pPr>
        <w:pStyle w:val="ListParagraph"/>
        <w:numPr>
          <w:ilvl w:val="0"/>
          <w:numId w:val="2"/>
        </w:numPr>
        <w:spacing w:after="80"/>
      </w:pPr>
      <w:r>
        <w:rPr>
          <w:rFonts w:ascii="Arial" w:cs="Arial" w:eastAsia="Arial" w:hAnsi="Arial"/>
          <w:sz w:val="22"/>
          <w:szCs w:val="22"/>
        </w:rPr>
        <w:t xml:space="preserve">Filtres par catégorie avec boutons radio</w:t>
      </w:r>
    </w:p>
    <w:p>
      <w:r>
        <w:br w:type="page"/>
      </w:r>
    </w:p>
    <w:p>
      <w:pPr>
        <w:pStyle w:val="Heading1"/>
        <w:shd w:fill="1A2B4A" w:val="clear"/>
        <w:spacing w:after="200" w:before="400"/>
        <w:ind w:left="200" w:right="200"/>
      </w:pPr>
      <w:r>
        <w:rPr>
          <w:rFonts w:ascii="Arial" w:cs="Arial" w:eastAsia="Arial" w:hAnsi="Arial"/>
          <w:b/>
          <w:bCs/>
          <w:color w:val="FFFFFF"/>
          <w:sz w:val="28"/>
          <w:szCs w:val="28"/>
        </w:rPr>
        <w:t xml:space="preserve">10. Évolutions Futures Possibles</w:t>
      </w:r>
    </w:p>
    <w:p>
      <w:pPr>
        <w:pStyle w:val="Heading2"/>
        <w:pBdr>
          <w:bottom w:val="single" w:color="00843D" w:sz="6"/>
        </w:pBdr>
        <w:spacing w:after="120" w:before="300"/>
      </w:pPr>
      <w:r>
        <w:rPr>
          <w:rFonts w:ascii="Arial" w:cs="Arial" w:eastAsia="Arial" w:hAnsi="Arial"/>
          <w:b/>
          <w:bCs/>
          <w:color w:val="1A2B4A"/>
          <w:sz w:val="24"/>
          <w:szCs w:val="24"/>
        </w:rPr>
        <w:t xml:space="preserve">10.1 Fonctionnalités court terme</w:t>
      </w:r>
    </w:p>
    <w:p>
      <w:pPr>
        <w:pStyle w:val="ListParagraph"/>
        <w:numPr>
          <w:ilvl w:val="0"/>
          <w:numId w:val="2"/>
        </w:numPr>
        <w:spacing w:after="80"/>
      </w:pPr>
      <w:r>
        <w:rPr>
          <w:rFonts w:ascii="Arial" w:cs="Arial" w:eastAsia="Arial" w:hAnsi="Arial"/>
          <w:sz w:val="22"/>
          <w:szCs w:val="22"/>
        </w:rPr>
        <w:t xml:space="preserve">Notifications email automatiques (rappels de saisie, alertes d'écart)</w:t>
      </w:r>
    </w:p>
    <w:p>
      <w:pPr>
        <w:pStyle w:val="ListParagraph"/>
        <w:numPr>
          <w:ilvl w:val="0"/>
          <w:numId w:val="2"/>
        </w:numPr>
        <w:spacing w:after="80"/>
      </w:pPr>
      <w:r>
        <w:rPr>
          <w:rFonts w:ascii="Arial" w:cs="Arial" w:eastAsia="Arial" w:hAnsi="Arial"/>
          <w:sz w:val="22"/>
          <w:szCs w:val="22"/>
        </w:rPr>
        <w:t xml:space="preserve">Import en masse depuis CSV ou Excel</w:t>
      </w:r>
    </w:p>
    <w:p>
      <w:pPr>
        <w:pStyle w:val="ListParagraph"/>
        <w:numPr>
          <w:ilvl w:val="0"/>
          <w:numId w:val="2"/>
        </w:numPr>
        <w:spacing w:after="80"/>
      </w:pPr>
      <w:r>
        <w:rPr>
          <w:rFonts w:ascii="Arial" w:cs="Arial" w:eastAsia="Arial" w:hAnsi="Arial"/>
          <w:sz w:val="22"/>
          <w:szCs w:val="22"/>
        </w:rPr>
        <w:t xml:space="preserve">Connexion ORCID API pour synchroniser automatiquement les publications</w:t>
      </w:r>
    </w:p>
    <w:p>
      <w:pPr>
        <w:pStyle w:val="ListParagraph"/>
        <w:numPr>
          <w:ilvl w:val="0"/>
          <w:numId w:val="2"/>
        </w:numPr>
        <w:spacing w:after="80"/>
      </w:pPr>
      <w:r>
        <w:rPr>
          <w:rFonts w:ascii="Arial" w:cs="Arial" w:eastAsia="Arial" w:hAnsi="Arial"/>
          <w:sz w:val="22"/>
          <w:szCs w:val="22"/>
        </w:rPr>
        <w:t xml:space="preserve">Génération de CV académique automatique (format HAL, ResearchGate)</w:t>
      </w:r>
    </w:p>
    <w:p>
      <w:pPr>
        <w:pStyle w:val="ListParagraph"/>
        <w:numPr>
          <w:ilvl w:val="0"/>
          <w:numId w:val="2"/>
        </w:numPr>
        <w:spacing w:after="80"/>
      </w:pPr>
      <w:r>
        <w:rPr>
          <w:rFonts w:ascii="Arial" w:cs="Arial" w:eastAsia="Arial" w:hAnsi="Arial"/>
          <w:sz w:val="22"/>
          <w:szCs w:val="22"/>
        </w:rPr>
        <w:t xml:space="preserve">Module de rapport institutionnel configurable</w:t>
      </w:r>
    </w:p>
    <w:p>
      <w:pPr>
        <w:pStyle w:val="Heading2"/>
        <w:pBdr>
          <w:bottom w:val="single" w:color="00843D" w:sz="6"/>
        </w:pBdr>
        <w:spacing w:after="120" w:before="300"/>
      </w:pPr>
      <w:r>
        <w:rPr>
          <w:rFonts w:ascii="Arial" w:cs="Arial" w:eastAsia="Arial" w:hAnsi="Arial"/>
          <w:b/>
          <w:bCs/>
          <w:color w:val="1A2B4A"/>
          <w:sz w:val="24"/>
          <w:szCs w:val="24"/>
        </w:rPr>
        <w:t xml:space="preserve">10.2 Fonctionnalités moyen terme</w:t>
      </w:r>
    </w:p>
    <w:p>
      <w:pPr>
        <w:pStyle w:val="ListParagraph"/>
        <w:numPr>
          <w:ilvl w:val="0"/>
          <w:numId w:val="2"/>
        </w:numPr>
        <w:spacing w:after="80"/>
      </w:pPr>
      <w:r>
        <w:rPr>
          <w:rFonts w:ascii="Arial" w:cs="Arial" w:eastAsia="Arial" w:hAnsi="Arial"/>
          <w:sz w:val="22"/>
          <w:szCs w:val="22"/>
        </w:rPr>
        <w:t xml:space="preserve">Benchmark inter-chercheurs avec anonymisation</w:t>
      </w:r>
    </w:p>
    <w:p>
      <w:pPr>
        <w:pStyle w:val="ListParagraph"/>
        <w:numPr>
          <w:ilvl w:val="0"/>
          <w:numId w:val="2"/>
        </w:numPr>
        <w:spacing w:after="80"/>
      </w:pPr>
      <w:r>
        <w:rPr>
          <w:rFonts w:ascii="Arial" w:cs="Arial" w:eastAsia="Arial" w:hAnsi="Arial"/>
          <w:sz w:val="22"/>
          <w:szCs w:val="22"/>
        </w:rPr>
        <w:t xml:space="preserve">Analyse prédictive des tendances de publication</w:t>
      </w:r>
    </w:p>
    <w:p>
      <w:pPr>
        <w:pStyle w:val="ListParagraph"/>
        <w:numPr>
          <w:ilvl w:val="0"/>
          <w:numId w:val="2"/>
        </w:numPr>
        <w:spacing w:after="80"/>
      </w:pPr>
      <w:r>
        <w:rPr>
          <w:rFonts w:ascii="Arial" w:cs="Arial" w:eastAsia="Arial" w:hAnsi="Arial"/>
          <w:sz w:val="22"/>
          <w:szCs w:val="22"/>
        </w:rPr>
        <w:t xml:space="preserve">Intégration avec les systèmes d'information RH de l'UM6P</w:t>
      </w:r>
    </w:p>
    <w:p>
      <w:pPr>
        <w:pStyle w:val="ListParagraph"/>
        <w:numPr>
          <w:ilvl w:val="0"/>
          <w:numId w:val="2"/>
        </w:numPr>
        <w:spacing w:after="80"/>
      </w:pPr>
      <w:r>
        <w:rPr>
          <w:rFonts w:ascii="Arial" w:cs="Arial" w:eastAsia="Arial" w:hAnsi="Arial"/>
          <w:sz w:val="22"/>
          <w:szCs w:val="22"/>
        </w:rPr>
        <w:t xml:space="preserve">Application mobile native (iOS / Android)</w:t>
      </w:r>
    </w:p>
    <w:p>
      <w:pPr>
        <w:pStyle w:val="ListParagraph"/>
        <w:numPr>
          <w:ilvl w:val="0"/>
          <w:numId w:val="2"/>
        </w:numPr>
        <w:spacing w:after="80"/>
      </w:pPr>
      <w:r>
        <w:rPr>
          <w:rFonts w:ascii="Arial" w:cs="Arial" w:eastAsia="Arial" w:hAnsi="Arial"/>
          <w:sz w:val="22"/>
          <w:szCs w:val="22"/>
        </w:rPr>
        <w:t xml:space="preserve">Synchronisation Scopus / Web of Science API pour les citations</w:t>
      </w:r>
    </w:p>
    <w:p>
      <w:pPr>
        <w:pStyle w:val="Heading2"/>
        <w:pBdr>
          <w:bottom w:val="single" w:color="00843D" w:sz="6"/>
        </w:pBdr>
        <w:spacing w:after="120" w:before="300"/>
      </w:pPr>
      <w:r>
        <w:rPr>
          <w:rFonts w:ascii="Arial" w:cs="Arial" w:eastAsia="Arial" w:hAnsi="Arial"/>
          <w:b/>
          <w:bCs/>
          <w:color w:val="1A2B4A"/>
          <w:sz w:val="24"/>
          <w:szCs w:val="24"/>
        </w:rPr>
        <w:t xml:space="preserve">10.3 Fonctionnalités long terme</w:t>
      </w:r>
    </w:p>
    <w:p>
      <w:pPr>
        <w:pStyle w:val="ListParagraph"/>
        <w:numPr>
          <w:ilvl w:val="0"/>
          <w:numId w:val="2"/>
        </w:numPr>
        <w:spacing w:after="80"/>
      </w:pPr>
      <w:r>
        <w:rPr>
          <w:rFonts w:ascii="Arial" w:cs="Arial" w:eastAsia="Arial" w:hAnsi="Arial"/>
          <w:sz w:val="22"/>
          <w:szCs w:val="22"/>
        </w:rPr>
        <w:t xml:space="preserve">Intelligence artificielle pour la suggestion de revues cibles</w:t>
      </w:r>
    </w:p>
    <w:p>
      <w:pPr>
        <w:pStyle w:val="ListParagraph"/>
        <w:numPr>
          <w:ilvl w:val="0"/>
          <w:numId w:val="2"/>
        </w:numPr>
        <w:spacing w:after="80"/>
      </w:pPr>
      <w:r>
        <w:rPr>
          <w:rFonts w:ascii="Arial" w:cs="Arial" w:eastAsia="Arial" w:hAnsi="Arial"/>
          <w:sz w:val="22"/>
          <w:szCs w:val="22"/>
        </w:rPr>
        <w:t xml:space="preserve">Cartographie des collaborations (visualisation réseau)</w:t>
      </w:r>
    </w:p>
    <w:p>
      <w:pPr>
        <w:pStyle w:val="ListParagraph"/>
        <w:numPr>
          <w:ilvl w:val="0"/>
          <w:numId w:val="2"/>
        </w:numPr>
        <w:spacing w:after="80"/>
      </w:pPr>
      <w:r>
        <w:rPr>
          <w:rFonts w:ascii="Arial" w:cs="Arial" w:eastAsia="Arial" w:hAnsi="Arial"/>
          <w:sz w:val="22"/>
          <w:szCs w:val="22"/>
        </w:rPr>
        <w:t xml:space="preserve">Portail public de valorisation des chercheurs UM6P</w:t>
      </w:r>
    </w:p>
    <w:p>
      <w:pPr>
        <w:pStyle w:val="ListParagraph"/>
        <w:numPr>
          <w:ilvl w:val="0"/>
          <w:numId w:val="2"/>
        </w:numPr>
        <w:spacing w:after="80"/>
      </w:pPr>
      <w:r>
        <w:rPr>
          <w:rFonts w:ascii="Arial" w:cs="Arial" w:eastAsia="Arial" w:hAnsi="Arial"/>
          <w:sz w:val="22"/>
          <w:szCs w:val="22"/>
        </w:rPr>
        <w:t xml:space="preserve">Intégration avec les systèmes de gestion financière</w:t>
      </w:r>
    </w:p>
    <w:p>
      <w:r>
        <w:br w:type="page"/>
      </w:r>
    </w:p>
    <w:p>
      <w:pPr>
        <w:pStyle w:val="Heading1"/>
        <w:shd w:fill="1A2B4A" w:val="clear"/>
        <w:spacing w:after="200" w:before="400"/>
        <w:ind w:left="200" w:right="200"/>
      </w:pPr>
      <w:r>
        <w:rPr>
          <w:rFonts w:ascii="Arial" w:cs="Arial" w:eastAsia="Arial" w:hAnsi="Arial"/>
          <w:b/>
          <w:bCs/>
          <w:color w:val="FFFFFF"/>
          <w:sz w:val="28"/>
          <w:szCs w:val="28"/>
        </w:rPr>
        <w:t xml:space="preserve">Glossaire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API</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Programming Interface — interface permettant à deux logiciels de communiquer</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CPS</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Cahier des Prescriptions Spéciales — document de référence fonctionnelle du projet</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DOI</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Object Identifier — identifiant unique d'un article scientifique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HDR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Habilitation à Diriger des Recherches — diplôme requis pour diriger des thèses en France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JWT</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Web Token — mécanisme sécurisé d'authentification</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KPI</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Performance Indicator — indicateur clé de performance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ORCID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Researcher and Contributor ID — identifiant unique des chercheurs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PFE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Projet de Fin d'Études — mémoire de fin de formation ingénieur</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PI</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Principal Investigator — chercheur principal responsable d'un projet</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PostgreSQL</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Système de gestion de base de données relationnelle open-source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RLS</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Level Security — sécurité au niveau de chaque ligne de données</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SaaS</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as a Service — logiciel hébergé dans le cloud et accessible via navigateur</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Supabase</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Plateforme open-source combinant base de données, authentification et stockage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TypeScript</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Langage de programmation extension de JavaScript avec typage statique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00843D"/>
                <w:sz w:val="20"/>
                <w:szCs w:val="20"/>
              </w:rPr>
              <w:t xml:space="preserve">Vercel</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Plateforme de déploiement et d'hébergement web optimisée pour les applications React</w:t>
            </w:r>
          </w:p>
        </w:tc>
      </w:tr>
    </w:tbl>
    <w:p>
      <w:pPr>
        <w:spacing w:after="400"/>
      </w:pPr>
    </w:p>
    <w:p>
      <w:pPr>
        <w:spacing w:before="400"/>
        <w:jc w:val="center"/>
      </w:pPr>
      <w:r>
        <w:rPr>
          <w:rFonts w:ascii="Arial" w:cs="Arial" w:eastAsia="Arial" w:hAnsi="Arial"/>
          <w:i/>
          <w:iCs/>
          <w:color w:val="888888"/>
          <w:sz w:val="20"/>
          <w:szCs w:val="20"/>
        </w:rPr>
        <w:t xml:space="preserve">— Fin du document —</w:t>
      </w:r>
    </w:p>
    <w:p>
      <w:pPr>
        <w:jc w:val="center"/>
      </w:pPr>
      <w:r>
        <w:rPr>
          <w:rFonts w:ascii="Arial" w:cs="Arial" w:eastAsia="Arial" w:hAnsi="Arial"/>
          <w:color w:val="888888"/>
          <w:sz w:val="18"/>
          <w:szCs w:val="18"/>
        </w:rPr>
        <w:t xml:space="preserve">UM6P / GSMI — Carnet du Chercheur Numérique — CPS v1.0.0 © 2024</w:t>
      </w:r>
    </w:p>
    <w:sectPr>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1A2B4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084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2026-06-22T14:17:13.166Z</dcterms:created>
  <dcterms:modified xsi:type="dcterms:W3CDTF">2026-06-22T14:17:13.166Z</dcterms:modified>
</cp:coreProperties>
</file>

<file path=docProps/custom.xml><?xml version="1.0" encoding="utf-8"?>
<Properties xmlns="http://schemas.openxmlformats.org/officeDocument/2006/custom-properties" xmlns:vt="http://schemas.openxmlformats.org/officeDocument/2006/docPropsVTypes"/>
</file>