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3B5F"/>
          <w:sz w:val="56"/>
        </w:rPr>
        <w:t>Security &amp; Compliance Roadmap</w:t>
      </w:r>
    </w:p>
    <w:p>
      <w:pPr>
        <w:jc w:val="center"/>
      </w:pPr>
      <w:r>
        <w:rPr>
          <w:color w:val="646464"/>
          <w:sz w:val="32"/>
        </w:rPr>
        <w:t>The Path to SOC 2 Type I Certification (Q4 2026)</w:t>
      </w:r>
    </w:p>
    <w:p/>
    <w:p/>
    <w:p/>
    <w:p/>
    <w:p/>
    <w:p>
      <w:pPr>
        <w:jc w:val="center"/>
      </w:pPr>
      <w:r>
        <w:rPr>
          <w:sz w:val="24"/>
        </w:rPr>
        <w:t>Version: 1.0.0</w:t>
        <w:br/>
        <w:t>Date: May 6, 2026</w:t>
        <w:br/>
        <w:t>Owner: Security &amp; Governance Team</w:t>
      </w:r>
    </w:p>
    <w:p>
      <w:r>
        <w:br w:type="page"/>
      </w:r>
    </w:p>
    <w:p>
      <w:pPr>
        <w:pStyle w:val="Heading1"/>
      </w:pPr>
      <w:r>
        <w:t>Table of Contents</w:t>
      </w:r>
    </w:p>
    <w:p>
      <w:r>
        <w:t>1. Executive Summary</w:t>
      </w:r>
    </w:p>
    <w:p>
      <w:r>
        <w:t>2. Current Security Posture</w:t>
      </w:r>
    </w:p>
    <w:p>
      <w:r>
        <w:t>3. The Road to SOC 2 Type I (Q4 2026)</w:t>
      </w:r>
    </w:p>
    <w:p>
      <w:r>
        <w:t>4. Quarterly Milestones</w:t>
      </w:r>
    </w:p>
    <w:p>
      <w:r>
        <w:t xml:space="preserve">   4.1 Q2 2026: Foundation &amp; Hardening</w:t>
      </w:r>
    </w:p>
    <w:p>
      <w:r>
        <w:t xml:space="preserve">   4.2 Q3 2026: Readiness &amp; Audit Prep</w:t>
      </w:r>
    </w:p>
    <w:p>
      <w:r>
        <w:t xml:space="preserve">   4.3 Q4 2026: Certification &amp; Public Trust</w:t>
      </w:r>
    </w:p>
    <w:p>
      <w:r>
        <w:t>5. Framework Alignment (NIST, ISO, HIPAA)</w:t>
      </w:r>
    </w:p>
    <w:p>
      <w:r>
        <w:t>6. Resource Requirements</w:t>
      </w:r>
    </w:p>
    <w:p>
      <w:r>
        <w:t>7. Conclusion</w:t>
      </w:r>
    </w:p>
    <w:p>
      <w:r>
        <w:br w:type="page"/>
      </w:r>
    </w:p>
    <w:p>
      <w:pPr>
        <w:pStyle w:val="Heading1"/>
      </w:pPr>
      <w:r>
        <w:t>1. Executive Summary</w:t>
      </w:r>
    </w:p>
    <w:p>
      <w:r>
        <w:t>AgentV is committed to maintaining the highest standards of security and data integrity. As autonomous agents handle increasingly sensitive enterprise data, proving the security of the verification platform itself is paramount. This roadmap outlines our strategic journey toward achieving SOC 2 Type I certification by Q4 2026, ensuring our customers can trust AgentV with their most critical business logic.</w:t>
      </w:r>
    </w:p>
    <w:p>
      <w:pPr>
        <w:pStyle w:val="Heading1"/>
      </w:pPr>
      <w:r>
        <w:t>2. Current Security Posture</w:t>
      </w:r>
    </w:p>
    <w:p>
      <w:r>
        <w:t>AgentV v1.6.0 already incorporates several 'Secure-by-Design' principles:</w:t>
      </w:r>
    </w:p>
    <w:p>
      <w:pPr>
        <w:pStyle w:val="ListBullet"/>
      </w:pPr>
      <w:r>
        <w:t>Identity Registry: Centralized management of Ed25519 cryptographic keys.</w:t>
      </w:r>
    </w:p>
    <w:p>
      <w:pPr>
        <w:pStyle w:val="ListBullet"/>
      </w:pPr>
      <w:r>
        <w:t>PBAC Governance: Permissions-Based Access Control for tool and resource isolation.</w:t>
      </w:r>
    </w:p>
    <w:p>
      <w:pPr>
        <w:pStyle w:val="ListBullet"/>
      </w:pPr>
      <w:r>
        <w:t>PII Redaction: Automated scanning and redaction of 16+ sensitive data patterns.</w:t>
      </w:r>
    </w:p>
    <w:p>
      <w:pPr>
        <w:pStyle w:val="ListBullet"/>
      </w:pPr>
      <w:r>
        <w:t>Forensic DNA: Write-Once-Read-Many (WORM) audit logs and SHA-256 artifact hashing.</w:t>
      </w:r>
    </w:p>
    <w:p>
      <w:pPr>
        <w:pStyle w:val="ListBullet"/>
      </w:pPr>
      <w:r>
        <w:t>NIST Alignment: Explicit alignment with NIST AI-100-1 (AI RMF).</w:t>
      </w:r>
    </w:p>
    <w:p>
      <w:pPr>
        <w:pStyle w:val="Heading1"/>
      </w:pPr>
      <w:r>
        <w:t>3. The Road to SOC 2 Type I (Q4 2026)</w:t>
      </w:r>
    </w:p>
    <w:p>
      <w:r>
        <w:t>Our journey to SOC 2 Type I will focus on the following Trust Services Criteria (TSC):</w:t>
      </w:r>
    </w:p>
    <w:p>
      <w:pPr>
        <w:pStyle w:val="ListBullet"/>
      </w:pPr>
      <w:r>
        <w:t>Security: Protection against unauthorized access, use, or modification.</w:t>
      </w:r>
    </w:p>
    <w:p>
      <w:pPr>
        <w:pStyle w:val="ListBullet"/>
      </w:pPr>
      <w:r>
        <w:t>Confidentiality: Protection of data designated as confidential.</w:t>
      </w:r>
    </w:p>
    <w:p>
      <w:pPr>
        <w:pStyle w:val="ListBullet"/>
      </w:pPr>
      <w:r>
        <w:t>Availability: Ensuring the system is available for operation and use as committed.</w:t>
      </w:r>
    </w:p>
    <w:p>
      <w:pPr>
        <w:pStyle w:val="Heading1"/>
      </w:pPr>
      <w:r>
        <w:t>4. Quarterly Milestones</w:t>
      </w:r>
    </w:p>
    <w:p>
      <w:pPr>
        <w:pStyle w:val="Heading2"/>
      </w:pPr>
      <w:r>
        <w:t>4.1 Q2 2026: Foundation &amp; Hardening</w:t>
      </w:r>
    </w:p>
    <w:p>
      <w:r>
        <w:t>Focus: Strengthening the technical foundation and formalizing core security policies.</w:t>
      </w:r>
    </w:p>
    <w:p>
      <w:pPr>
        <w:pStyle w:val="ListBullet"/>
      </w:pPr>
      <w:r>
        <w:t>Implement automated vulnerability scanning in CI/CD pipelines (SAST/DAST).</w:t>
      </w:r>
    </w:p>
    <w:p>
      <w:pPr>
        <w:pStyle w:val="ListBullet"/>
      </w:pPr>
      <w:r>
        <w:t>Formalize the Incident Response Plan (IRP) and conduct first tabletop exercise.</w:t>
      </w:r>
    </w:p>
    <w:p>
      <w:pPr>
        <w:pStyle w:val="ListBullet"/>
      </w:pPr>
      <w:r>
        <w:t>Enhance PBAC 2.0 with namespace-specific write permissions and audit logging.</w:t>
      </w:r>
    </w:p>
    <w:p>
      <w:pPr>
        <w:pStyle w:val="ListBullet"/>
      </w:pPr>
      <w:r>
        <w:t>Establish the Data Classification Policy and Inventory.</w:t>
      </w:r>
    </w:p>
    <w:p>
      <w:pPr>
        <w:pStyle w:val="Heading2"/>
      </w:pPr>
      <w:r>
        <w:t>4.2 Q3 2026: Readiness &amp; Audit Prep</w:t>
      </w:r>
    </w:p>
    <w:p>
      <w:r>
        <w:t>Focus: Bridging the gap between technical features and formal audit requirements.</w:t>
      </w:r>
    </w:p>
    <w:p>
      <w:pPr>
        <w:pStyle w:val="ListBullet"/>
      </w:pPr>
      <w:r>
        <w:t>Conduct a formal SOC 2 Gap Analysis with a third-party consultant.</w:t>
      </w:r>
    </w:p>
    <w:p>
      <w:pPr>
        <w:pStyle w:val="ListBullet"/>
      </w:pPr>
      <w:r>
        <w:t>Automate evidence collection by linking VC v3 certificates to the GRC platform.</w:t>
      </w:r>
    </w:p>
    <w:p>
      <w:pPr>
        <w:pStyle w:val="ListBullet"/>
      </w:pPr>
      <w:r>
        <w:t>Roll out mandatory security awareness training for all contributors.</w:t>
      </w:r>
    </w:p>
    <w:p>
      <w:pPr>
        <w:pStyle w:val="ListBullet"/>
      </w:pPr>
      <w:r>
        <w:t>Perform an internal security audit of the Identity Registry and Vaulting system.</w:t>
      </w:r>
    </w:p>
    <w:p>
      <w:pPr>
        <w:pStyle w:val="Heading2"/>
      </w:pPr>
      <w:r>
        <w:t>4.3 Q4 2026: Certification &amp; Public Trust</w:t>
      </w:r>
    </w:p>
    <w:p>
      <w:r>
        <w:t>Focus: Final audit execution and public certification.</w:t>
      </w:r>
    </w:p>
    <w:p>
      <w:pPr>
        <w:pStyle w:val="ListBullet"/>
      </w:pPr>
      <w:r>
        <w:t>Execute the SOC 2 Type I audit with a certified CPA firm.</w:t>
      </w:r>
    </w:p>
    <w:p>
      <w:pPr>
        <w:pStyle w:val="ListBullet"/>
      </w:pPr>
      <w:r>
        <w:t>Remediate any findings identified during the observation period.</w:t>
      </w:r>
    </w:p>
    <w:p>
      <w:pPr>
        <w:pStyle w:val="ListBullet"/>
      </w:pPr>
      <w:r>
        <w:t>Launch the AgentV Trust Portal for customer-facing security documentation.</w:t>
      </w:r>
    </w:p>
    <w:p>
      <w:pPr>
        <w:pStyle w:val="ListBullet"/>
      </w:pPr>
      <w:r>
        <w:t>Achieve SOC 2 Type I Certification by December 31, 2026.</w:t>
      </w:r>
    </w:p>
    <w:p>
      <w:pPr>
        <w:pStyle w:val="Heading1"/>
      </w:pPr>
      <w:r>
        <w:t>5. Framework Alignment</w:t>
      </w:r>
    </w:p>
    <w:p>
      <w:r>
        <w:t>While SOC 2 is the primary objective, our roadmap ensures simultaneous alignment with:</w:t>
      </w:r>
    </w:p>
    <w:p>
      <w:pPr>
        <w:pStyle w:val="ListBullet"/>
      </w:pPr>
      <w:r>
        <w:t>NIST AI-100-1: Continued leadership in AI Risk Management.</w:t>
      </w:r>
    </w:p>
    <w:p>
      <w:pPr>
        <w:pStyle w:val="ListBullet"/>
      </w:pPr>
      <w:r>
        <w:t>ISO 27001: Leveraging SOC 2 controls for future ISO certification.</w:t>
      </w:r>
    </w:p>
    <w:p>
      <w:pPr>
        <w:pStyle w:val="ListBullet"/>
      </w:pPr>
      <w:r>
        <w:t>HIPAA/GDPR: Releasing dedicated compliance packs for regulated industries.</w:t>
      </w:r>
    </w:p>
    <w:p>
      <w:pPr>
        <w:pStyle w:val="Heading1"/>
      </w:pPr>
      <w:r>
        <w:t>6. Resource Requirements</w:t>
      </w:r>
    </w:p>
    <w:p>
      <w:r>
        <w:t>To achieve these milestones, we will allocate resources across Security Engineering, Legal/Compliance, and DevOps, including the procurement of a dedicated GRC automation platform.</w:t>
      </w:r>
    </w:p>
    <w:p>
      <w:pPr>
        <w:pStyle w:val="Heading1"/>
      </w:pPr>
      <w:r>
        <w:t>7. Conclusion</w:t>
      </w:r>
    </w:p>
    <w:p>
      <w:r>
        <w:t>The journey to SOC 2 Type I is a critical milestone in AgentV's mission to become the authoritative verification layer for enterprise AI. By Q4 2026, AgentV will provide not just technical verification, but a certified trust framework that meets the demands of the most regulated industries.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jc w:val="center"/>
    </w:pPr>
    <w:r>
      <w:rPr>
        <w:sz w:val="16"/>
      </w:rPr>
      <w:t>© 2026 AgentV. All Rights Reserved. Confidential &amp; Proprietary.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