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Pr>
        <w:jc w:val="center"/>
      </w:pPr>
      <w:r>
        <w:drawing>
          <wp:inline xmlns:a="http://schemas.openxmlformats.org/drawingml/2006/main" xmlns:pic="http://schemas.openxmlformats.org/drawingml/2006/picture">
            <wp:extent cx="3240000" cy="795825"/>
            <wp:docPr id="1" name="Picture 1"/>
            <wp:cNvGraphicFramePr>
              <a:graphicFrameLocks noChangeAspect="1"/>
            </wp:cNvGraphicFramePr>
            <a:graphic>
              <a:graphicData uri="http://schemas.openxmlformats.org/drawingml/2006/picture">
                <pic:pic>
                  <pic:nvPicPr>
                    <pic:cNvPr id="0" name="duoc_logo.png"/>
                    <pic:cNvPicPr/>
                  </pic:nvPicPr>
                  <pic:blipFill>
                    <a:blip r:embed="rId9"/>
                    <a:stretch>
                      <a:fillRect/>
                    </a:stretch>
                  </pic:blipFill>
                  <pic:spPr>
                    <a:xfrm>
                      <a:off x="0" y="0"/>
                      <a:ext cx="3240000" cy="795825"/>
                    </a:xfrm>
                    <a:prstGeom prst="rect"/>
                  </pic:spPr>
                </pic:pic>
              </a:graphicData>
            </a:graphic>
          </wp:inline>
        </w:drawing>
      </w:r>
    </w:p>
    <w:p/>
    <w:p/>
    <w:p>
      <w:pPr>
        <w:jc w:val="center"/>
      </w:pPr>
      <w:r>
        <w:rPr>
          <w:rFonts w:ascii="Merriweather" w:hAnsi="Merriweather"/>
          <w:b/>
          <w:color w:val="002138"/>
          <w:sz w:val="48"/>
        </w:rPr>
        <w:t>Informe técnico · Innovatech Solutions</w:t>
      </w:r>
    </w:p>
    <w:p>
      <w:pPr>
        <w:jc w:val="center"/>
        <w:pBdr>
          <w:bottom w:val="single" w:sz="10" w:space="3" w:color="FFB800"/>
        </w:pBdr>
      </w:pPr>
    </w:p>
    <w:p/>
    <w:p/>
    <w:p>
      <w:pPr>
        <w:jc w:val="center"/>
      </w:pPr>
      <w:r>
        <w:rPr>
          <w:b/>
          <w:sz w:val="23"/>
        </w:rPr>
        <w:t xml:space="preserve">Asignatura: </w:t>
      </w:r>
      <w:r>
        <w:rPr>
          <w:sz w:val="23"/>
        </w:rPr>
        <w:t>DSY1106 · Desarrollo Full Stack</w:t>
      </w:r>
    </w:p>
    <w:p>
      <w:pPr>
        <w:jc w:val="center"/>
      </w:pPr>
      <w:r>
        <w:rPr>
          <w:b/>
          <w:sz w:val="23"/>
        </w:rPr>
        <w:t xml:space="preserve">Autor: </w:t>
      </w:r>
      <w:r>
        <w:rPr>
          <w:sz w:val="23"/>
        </w:rPr>
        <w:t>Najeeb Escobar Pérez</w:t>
      </w:r>
    </w:p>
    <w:p>
      <w:pPr>
        <w:jc w:val="center"/>
      </w:pPr>
      <w:r>
        <w:rPr>
          <w:b/>
          <w:sz w:val="23"/>
        </w:rPr>
        <w:t xml:space="preserve">Fecha: </w:t>
      </w:r>
      <w:r>
        <w:rPr>
          <w:sz w:val="23"/>
        </w:rPr>
        <w:t>Junio 2026</w:t>
      </w:r>
    </w:p>
    <w:p>
      <w:r>
        <w:br w:type="page"/>
      </w:r>
    </w:p>
    <w:p>
      <w:pPr>
        <w:pBdr>
          <w:bottom w:val="single" w:sz="10" w:space="3" w:color="FFB800"/>
        </w:pBdr>
        <w:spacing w:after="160"/>
      </w:pPr>
      <w:r>
        <w:rPr>
          <w:rFonts w:ascii="Merriweather" w:hAnsi="Merriweather"/>
          <w:b/>
          <w:color w:val="002138"/>
          <w:sz w:val="34"/>
        </w:rPr>
        <w:t>Contenidos</w:t>
      </w:r>
    </w:p>
    <w:p>
      <w:r>
        <w:fldChar w:fldCharType="begin" w:dirty="true"/>
        <w:instrText xml:space="preserve">TOC \o "1-2" \h \z \u</w:instrText>
        <w:fldChar w:fldCharType="separate">
          <w:t>Actualiza el índice: clic derecho sobre él y elige «Actualizar campos».</w:t>
        </w:fldChar>
        <w:fldChar w:fldCharType="end"/>
      </w:r>
    </w:p>
    <w:p>
      <w:r>
        <w:br w:type="page"/>
      </w:r>
    </w:p>
    <w:p>
      <w:pPr>
        <w:pStyle w:val="Heading1"/>
        <w:spacing w:before="280" w:after="60"/>
        <w:pBdr>
          <w:bottom w:val="single" w:sz="10" w:space="3" w:color="FFB800"/>
        </w:pBdr>
      </w:pPr>
      <w:r>
        <w:rPr>
          <w:rFonts w:ascii="Merriweather" w:hAnsi="Merriweather"/>
          <w:b/>
          <w:color w:val="002138"/>
          <w:sz w:val="30"/>
        </w:rPr>
        <w:t>1. Contexto</w:t>
      </w:r>
    </w:p>
    <w:p>
      <w:pPr>
        <w:spacing w:after="140"/>
      </w:pPr>
      <w:r>
        <w:t>Innovatech Solutions es una plataforma interna para gestionar proyectos, el talento asignado a esos proyectos y los indicadores que la dirección necesita para decidir. Resuelve un problema concreto: la información de proyectos, personas y capacidad vivía dispersa en planillas, sin una vista única ni control de acceso por rol. La plataforma centraliza esos datos y los muestra según quién mira.</w:t>
      </w:r>
    </w:p>
    <w:p>
      <w:pPr>
        <w:spacing w:after="140"/>
      </w:pPr>
      <w:r>
        <w:t>Hay tres perfiles de usuario, y cada uno ve algo distinto:</w:t>
      </w:r>
    </w:p>
    <w:p>
      <w:pPr>
        <w:pStyle w:val="ListBullet"/>
      </w:pPr>
      <w:r>
        <w:rPr>
          <w:b/>
        </w:rPr>
        <w:t>Desarrollador (DEV):</w:t>
      </w:r>
      <w:r>
        <w:t xml:space="preserve"> sus tareas asignadas y los proyectos en los que participa.</w:t>
      </w:r>
    </w:p>
    <w:p>
      <w:pPr>
        <w:pStyle w:val="ListBullet"/>
      </w:pPr>
      <w:r>
        <w:rPr>
          <w:b/>
        </w:rPr>
        <w:t>Project Manager (PM):</w:t>
      </w:r>
      <w:r>
        <w:t xml:space="preserve"> los proyectos que supervisa, las tareas en riesgo y los hitos próximos.</w:t>
      </w:r>
    </w:p>
    <w:p>
      <w:pPr>
        <w:pStyle w:val="ListBullet"/>
      </w:pPr>
      <w:r>
        <w:rPr>
          <w:b/>
        </w:rPr>
        <w:t>Directivo (DIR):</w:t>
      </w:r>
      <w:r>
        <w:t xml:space="preserve"> la foto agregada de la organización (proyectos activos, porcentaje de utilización del equipo y alertas globales).</w:t>
      </w:r>
    </w:p>
    <w:p>
      <w:pPr>
        <w:spacing w:after="140"/>
      </w:pPr>
      <w:r>
        <w:t>El dominio se reparte en tres capacidades: ciclo de vida de proyectos y tareas, gestión de recursos (las personas y su disponibilidad semanal) y analítica (KPIs de capacidad y avance). Esa separación por capacidad es la que define después la separación en microservicios.</w:t>
      </w:r>
    </w:p>
    <w:p>
      <w:pPr>
        <w:spacing w:after="140"/>
      </w:pPr>
      <w:r>
        <w:t xml:space="preserve">El detalle de actores y sistemas externos está en el </w:t>
      </w:r>
      <w:hyperlink r:id="rId10">
        <w:r>
          <w:rPr>
            <w:color w:val="002138"/>
            <w:u w:val="single"/>
            <w:rFonts w:ascii="Lato" w:hAnsi="Lato"/>
          </w:rPr>
          <w:t>Diagrama C1 · Contexto del Sistema</w:t>
        </w:r>
      </w:hyperlink>
      <w:r>
        <w:t>.</w:t>
      </w:r>
    </w:p>
    <w:p>
      <w:pPr>
        <w:pStyle w:val="Heading1"/>
        <w:spacing w:before="280" w:after="60"/>
        <w:pBdr>
          <w:bottom w:val="single" w:sz="10" w:space="3" w:color="FFB800"/>
        </w:pBdr>
      </w:pPr>
      <w:r>
        <w:rPr>
          <w:rFonts w:ascii="Merriweather" w:hAnsi="Merriweather"/>
          <w:b/>
          <w:color w:val="002138"/>
          <w:sz w:val="30"/>
        </w:rPr>
        <w:t>2. Arquitectura</w:t>
      </w:r>
    </w:p>
    <w:p>
      <w:pPr>
        <w:spacing w:after="140"/>
      </w:pPr>
      <w:r>
        <w:t>El sistema usa una arquitectura de microservicios sobre Spring Boot, con un frontend React de página única (SPA) que consume una API HTTP. La autenticación es externa, delegada en Keycloak. Todo corre en contenedores y se despliega en Kubernetes.</w:t>
      </w:r>
    </w:p>
    <w:p>
      <w:pPr>
        <w:spacing w:after="140"/>
      </w:pPr>
      <w:r>
        <w:t>La descripción que sigue usa los tres primeros niveles del modelo C4: contexto (C1), contenedores (C2) y componentes (C3).</w:t>
      </w:r>
    </w:p>
    <w:p>
      <w:pPr>
        <w:pStyle w:val="Heading2"/>
        <w:spacing w:before="280" w:after="60"/>
      </w:pPr>
      <w:r>
        <w:rPr>
          <w:rFonts w:ascii="Merriweather" w:hAnsi="Merriweather"/>
          <w:b/>
          <w:color w:val="002138"/>
          <w:sz w:val="25"/>
        </w:rPr>
        <w:t>2.1 Contexto (C1)</w:t>
      </w:r>
    </w:p>
    <w:p>
      <w:pPr>
        <w:spacing w:after="140"/>
      </w:pPr>
      <w:r>
        <w:t xml:space="preserve">En el nivel más alto hay un único sistema (Innovatech Solutions) con el que interactúan los tres perfiles de usuario a través del navegador. El sistema depende de un proveedor de identidad externo, Keycloak, que emite y firma los tokens de sesión. Ver </w:t>
      </w:r>
      <w:hyperlink r:id="rId10">
        <w:r>
          <w:rPr>
            <w:color w:val="002138"/>
            <w:u w:val="single"/>
            <w:rFonts w:ascii="Lato" w:hAnsi="Lato"/>
          </w:rPr>
          <w:t>Diagrama C1 · Contexto del Sistema</w:t>
        </w:r>
      </w:hyperlink>
      <w:r>
        <w:t>.</w:t>
      </w:r>
    </w:p>
    <w:p>
      <w:pPr>
        <w:pStyle w:val="Heading2"/>
        <w:spacing w:before="280" w:after="60"/>
      </w:pPr>
      <w:r>
        <w:rPr>
          <w:rFonts w:ascii="Merriweather" w:hAnsi="Merriweather"/>
          <w:b/>
          <w:color w:val="002138"/>
          <w:sz w:val="25"/>
        </w:rPr>
        <w:t>2.2 Contenedores (C2)</w:t>
      </w:r>
    </w:p>
    <w:p>
      <w:pPr>
        <w:spacing w:after="140"/>
      </w:pPr>
      <w:r>
        <w:t>Dentro del sistema hay nueve contenedores ejecutables más cuatro bases de datos. Cada uno tiene una responsabilidad acotada:</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fill="002138"/>
          </w:tcPr>
          <w:p>
            <w:r>
              <w:rPr>
                <w:b/>
                <w:color w:val="FFFFFF"/>
                <w:sz w:val="19"/>
              </w:rPr>
              <w:t>Contenedor</w:t>
            </w:r>
          </w:p>
        </w:tc>
        <w:tc>
          <w:tcPr>
            <w:tcW w:type="dxa" w:w="2436"/>
            <w:shd w:val="clear" w:fill="002138"/>
          </w:tcPr>
          <w:p>
            <w:r>
              <w:rPr>
                <w:b/>
                <w:color w:val="FFFFFF"/>
                <w:sz w:val="19"/>
              </w:rPr>
              <w:t>Tecnología</w:t>
            </w:r>
          </w:p>
        </w:tc>
        <w:tc>
          <w:tcPr>
            <w:tcW w:type="dxa" w:w="2436"/>
            <w:shd w:val="clear" w:fill="002138"/>
          </w:tcPr>
          <w:p>
            <w:r>
              <w:rPr>
                <w:b/>
                <w:color w:val="FFFFFF"/>
                <w:sz w:val="19"/>
              </w:rPr>
              <w:t>Puerto</w:t>
            </w:r>
          </w:p>
        </w:tc>
        <w:tc>
          <w:tcPr>
            <w:tcW w:type="dxa" w:w="2436"/>
            <w:shd w:val="clear" w:fill="002138"/>
          </w:tcPr>
          <w:p>
            <w:r>
              <w:rPr>
                <w:b/>
                <w:color w:val="FFFFFF"/>
                <w:sz w:val="19"/>
              </w:rPr>
              <w:t>Responsabilidad</w:t>
            </w:r>
          </w:p>
        </w:tc>
      </w:tr>
      <w:tr>
        <w:tc>
          <w:tcPr>
            <w:tcW w:type="dxa" w:w="2436"/>
          </w:tcPr>
          <w:p>
            <w:r>
              <w:rPr>
                <w:sz w:val="19"/>
              </w:rPr>
              <w:t>Frontend</w:t>
            </w:r>
          </w:p>
        </w:tc>
        <w:tc>
          <w:tcPr>
            <w:tcW w:type="dxa" w:w="2436"/>
          </w:tcPr>
          <w:p>
            <w:r>
              <w:rPr>
                <w:sz w:val="19"/>
              </w:rPr>
              <w:t>React + Nginx</w:t>
            </w:r>
          </w:p>
        </w:tc>
        <w:tc>
          <w:tcPr>
            <w:tcW w:type="dxa" w:w="2436"/>
          </w:tcPr>
          <w:p>
            <w:r>
              <w:rPr>
                <w:sz w:val="19"/>
              </w:rPr>
              <w:t>8080</w:t>
            </w:r>
          </w:p>
        </w:tc>
        <w:tc>
          <w:tcPr>
            <w:tcW w:type="dxa" w:w="2436"/>
          </w:tcPr>
          <w:p>
            <w:r>
              <w:rPr>
                <w:sz w:val="19"/>
              </w:rPr>
              <w:t>SPA servida al navegador</w:t>
            </w:r>
          </w:p>
        </w:tc>
      </w:tr>
      <w:tr>
        <w:tc>
          <w:tcPr>
            <w:tcW w:type="dxa" w:w="2436"/>
            <w:shd w:val="clear" w:fill="F4F4F4"/>
          </w:tcPr>
          <w:p>
            <w:r>
              <w:rPr>
                <w:sz w:val="19"/>
              </w:rPr>
              <w:t>API Gateway</w:t>
            </w:r>
          </w:p>
        </w:tc>
        <w:tc>
          <w:tcPr>
            <w:tcW w:type="dxa" w:w="2436"/>
            <w:shd w:val="clear" w:fill="F4F4F4"/>
          </w:tcPr>
          <w:p>
            <w:r>
              <w:rPr>
                <w:sz w:val="19"/>
              </w:rPr>
              <w:t>Spring Cloud Gateway</w:t>
            </w:r>
          </w:p>
        </w:tc>
        <w:tc>
          <w:tcPr>
            <w:tcW w:type="dxa" w:w="2436"/>
            <w:shd w:val="clear" w:fill="F4F4F4"/>
          </w:tcPr>
          <w:p>
            <w:r>
              <w:rPr>
                <w:sz w:val="19"/>
              </w:rPr>
              <w:t>9000</w:t>
            </w:r>
          </w:p>
        </w:tc>
        <w:tc>
          <w:tcPr>
            <w:tcW w:type="dxa" w:w="2436"/>
            <w:shd w:val="clear" w:fill="F4F4F4"/>
          </w:tcPr>
          <w:p>
            <w:r>
              <w:rPr>
                <w:sz w:val="19"/>
              </w:rPr>
              <w:t>Entrada única, valida el token y enruta</w:t>
            </w:r>
          </w:p>
        </w:tc>
      </w:tr>
      <w:tr>
        <w:tc>
          <w:tcPr>
            <w:tcW w:type="dxa" w:w="2436"/>
          </w:tcPr>
          <w:p>
            <w:r>
              <w:rPr>
                <w:sz w:val="19"/>
              </w:rPr>
              <w:t>BFF</w:t>
            </w:r>
          </w:p>
        </w:tc>
        <w:tc>
          <w:tcPr>
            <w:tcW w:type="dxa" w:w="2436"/>
          </w:tcPr>
          <w:p>
            <w:r>
              <w:rPr>
                <w:sz w:val="19"/>
              </w:rPr>
              <w:t>Spring Boot MVC</w:t>
            </w:r>
          </w:p>
        </w:tc>
        <w:tc>
          <w:tcPr>
            <w:tcW w:type="dxa" w:w="2436"/>
          </w:tcPr>
          <w:p>
            <w:r>
              <w:rPr>
                <w:sz w:val="19"/>
              </w:rPr>
              <w:t>8084</w:t>
            </w:r>
          </w:p>
        </w:tc>
        <w:tc>
          <w:tcPr>
            <w:tcW w:type="dxa" w:w="2436"/>
          </w:tcPr>
          <w:p>
            <w:r>
              <w:rPr>
                <w:sz w:val="19"/>
              </w:rPr>
              <w:t>Orquesta los microservicios y arma la respuesta por rol</w:t>
            </w:r>
          </w:p>
        </w:tc>
      </w:tr>
      <w:tr>
        <w:tc>
          <w:tcPr>
            <w:tcW w:type="dxa" w:w="2436"/>
            <w:shd w:val="clear" w:fill="F4F4F4"/>
          </w:tcPr>
          <w:p>
            <w:r>
              <w:rPr>
                <w:sz w:val="19"/>
              </w:rPr>
              <w:t>ms-projects</w:t>
            </w:r>
          </w:p>
        </w:tc>
        <w:tc>
          <w:tcPr>
            <w:tcW w:type="dxa" w:w="2436"/>
            <w:shd w:val="clear" w:fill="F4F4F4"/>
          </w:tcPr>
          <w:p>
            <w:r>
              <w:rPr>
                <w:sz w:val="19"/>
              </w:rPr>
              <w:t>Spring Boot + JPA</w:t>
            </w:r>
          </w:p>
        </w:tc>
        <w:tc>
          <w:tcPr>
            <w:tcW w:type="dxa" w:w="2436"/>
            <w:shd w:val="clear" w:fill="F4F4F4"/>
          </w:tcPr>
          <w:p>
            <w:r>
              <w:rPr>
                <w:sz w:val="19"/>
              </w:rPr>
              <w:t>8081</w:t>
            </w:r>
          </w:p>
        </w:tc>
        <w:tc>
          <w:tcPr>
            <w:tcW w:type="dxa" w:w="2436"/>
            <w:shd w:val="clear" w:fill="F4F4F4"/>
          </w:tcPr>
          <w:p>
            <w:r>
              <w:rPr>
                <w:sz w:val="19"/>
              </w:rPr>
              <w:t>Proyectos y tareas</w:t>
            </w:r>
          </w:p>
        </w:tc>
      </w:tr>
      <w:tr>
        <w:tc>
          <w:tcPr>
            <w:tcW w:type="dxa" w:w="2436"/>
          </w:tcPr>
          <w:p>
            <w:r>
              <w:rPr>
                <w:sz w:val="19"/>
              </w:rPr>
              <w:t>ms-resources</w:t>
            </w:r>
          </w:p>
        </w:tc>
        <w:tc>
          <w:tcPr>
            <w:tcW w:type="dxa" w:w="2436"/>
          </w:tcPr>
          <w:p>
            <w:r>
              <w:rPr>
                <w:sz w:val="19"/>
              </w:rPr>
              <w:t>Spring Boot + JPA</w:t>
            </w:r>
          </w:p>
        </w:tc>
        <w:tc>
          <w:tcPr>
            <w:tcW w:type="dxa" w:w="2436"/>
          </w:tcPr>
          <w:p>
            <w:r>
              <w:rPr>
                <w:sz w:val="19"/>
              </w:rPr>
              <w:t>8082</w:t>
            </w:r>
          </w:p>
        </w:tc>
        <w:tc>
          <w:tcPr>
            <w:tcW w:type="dxa" w:w="2436"/>
          </w:tcPr>
          <w:p>
            <w:r>
              <w:rPr>
                <w:sz w:val="19"/>
              </w:rPr>
              <w:t>Recursos (personas)</w:t>
            </w:r>
          </w:p>
        </w:tc>
      </w:tr>
      <w:tr>
        <w:tc>
          <w:tcPr>
            <w:tcW w:type="dxa" w:w="2436"/>
            <w:shd w:val="clear" w:fill="F4F4F4"/>
          </w:tcPr>
          <w:p>
            <w:r>
              <w:rPr>
                <w:sz w:val="19"/>
              </w:rPr>
              <w:t>ms-analytics</w:t>
            </w:r>
          </w:p>
        </w:tc>
        <w:tc>
          <w:tcPr>
            <w:tcW w:type="dxa" w:w="2436"/>
            <w:shd w:val="clear" w:fill="F4F4F4"/>
          </w:tcPr>
          <w:p>
            <w:r>
              <w:rPr>
                <w:sz w:val="19"/>
              </w:rPr>
              <w:t>Spring Boot + JPA</w:t>
            </w:r>
          </w:p>
        </w:tc>
        <w:tc>
          <w:tcPr>
            <w:tcW w:type="dxa" w:w="2436"/>
            <w:shd w:val="clear" w:fill="F4F4F4"/>
          </w:tcPr>
          <w:p>
            <w:r>
              <w:rPr>
                <w:sz w:val="19"/>
              </w:rPr>
              <w:t>8083</w:t>
            </w:r>
          </w:p>
        </w:tc>
        <w:tc>
          <w:tcPr>
            <w:tcW w:type="dxa" w:w="2436"/>
            <w:shd w:val="clear" w:fill="F4F4F4"/>
          </w:tcPr>
          <w:p>
            <w:r>
              <w:rPr>
                <w:sz w:val="19"/>
              </w:rPr>
              <w:t>Cálculo y captura de KPIs</w:t>
            </w:r>
          </w:p>
        </w:tc>
      </w:tr>
      <w:tr>
        <w:tc>
          <w:tcPr>
            <w:tcW w:type="dxa" w:w="2436"/>
          </w:tcPr>
          <w:p>
            <w:r>
              <w:rPr>
                <w:sz w:val="19"/>
              </w:rPr>
              <w:t>Eureka Server</w:t>
            </w:r>
          </w:p>
        </w:tc>
        <w:tc>
          <w:tcPr>
            <w:tcW w:type="dxa" w:w="2436"/>
          </w:tcPr>
          <w:p>
            <w:r>
              <w:rPr>
                <w:sz w:val="19"/>
              </w:rPr>
              <w:t>Spring Cloud Netflix</w:t>
            </w:r>
          </w:p>
        </w:tc>
        <w:tc>
          <w:tcPr>
            <w:tcW w:type="dxa" w:w="2436"/>
          </w:tcPr>
          <w:p>
            <w:r>
              <w:rPr>
                <w:sz w:val="19"/>
              </w:rPr>
              <w:t>8761</w:t>
            </w:r>
          </w:p>
        </w:tc>
        <w:tc>
          <w:tcPr>
            <w:tcW w:type="dxa" w:w="2436"/>
          </w:tcPr>
          <w:p>
            <w:r>
              <w:rPr>
                <w:sz w:val="19"/>
              </w:rPr>
              <w:t>Registro y descubrimiento de servicios</w:t>
            </w:r>
          </w:p>
        </w:tc>
      </w:tr>
      <w:tr>
        <w:tc>
          <w:tcPr>
            <w:tcW w:type="dxa" w:w="2436"/>
            <w:shd w:val="clear" w:fill="F4F4F4"/>
          </w:tcPr>
          <w:p>
            <w:r>
              <w:rPr>
                <w:sz w:val="19"/>
              </w:rPr>
              <w:t>Keycloak</w:t>
            </w:r>
          </w:p>
        </w:tc>
        <w:tc>
          <w:tcPr>
            <w:tcW w:type="dxa" w:w="2436"/>
            <w:shd w:val="clear" w:fill="F4F4F4"/>
          </w:tcPr>
          <w:p>
            <w:r>
              <w:rPr>
                <w:sz w:val="19"/>
              </w:rPr>
              <w:t>Keycloak 24</w:t>
            </w:r>
          </w:p>
        </w:tc>
        <w:tc>
          <w:tcPr>
            <w:tcW w:type="dxa" w:w="2436"/>
            <w:shd w:val="clear" w:fill="F4F4F4"/>
          </w:tcPr>
          <w:p>
            <w:r>
              <w:rPr>
                <w:sz w:val="19"/>
              </w:rPr>
              <w:t>8080</w:t>
            </w:r>
          </w:p>
        </w:tc>
        <w:tc>
          <w:tcPr>
            <w:tcW w:type="dxa" w:w="2436"/>
            <w:shd w:val="clear" w:fill="F4F4F4"/>
          </w:tcPr>
          <w:p>
            <w:r>
              <w:rPr>
                <w:sz w:val="19"/>
              </w:rPr>
              <w:t>Identidad y emisión de tokens</w:t>
            </w:r>
          </w:p>
        </w:tc>
      </w:tr>
      <w:tr>
        <w:tc>
          <w:tcPr>
            <w:tcW w:type="dxa" w:w="2436"/>
          </w:tcPr>
          <w:p>
            <w:r>
              <w:rPr>
                <w:sz w:val="19"/>
              </w:rPr>
              <w:t>PostgreSQL ×4</w:t>
            </w:r>
          </w:p>
        </w:tc>
        <w:tc>
          <w:tcPr>
            <w:tcW w:type="dxa" w:w="2436"/>
          </w:tcPr>
          <w:p>
            <w:r>
              <w:rPr>
                <w:sz w:val="19"/>
              </w:rPr>
              <w:t>PostgreSQL 16</w:t>
            </w:r>
          </w:p>
        </w:tc>
        <w:tc>
          <w:tcPr>
            <w:tcW w:type="dxa" w:w="2436"/>
          </w:tcPr>
          <w:p>
            <w:r>
              <w:rPr>
                <w:sz w:val="19"/>
              </w:rPr>
              <w:t>5432</w:t>
            </w:r>
          </w:p>
        </w:tc>
        <w:tc>
          <w:tcPr>
            <w:tcW w:type="dxa" w:w="2436"/>
          </w:tcPr>
          <w:p>
            <w:r>
              <w:rPr>
                <w:sz w:val="19"/>
              </w:rPr>
              <w:t>Una base por servicio de negocio y una para Keycloak</w:t>
            </w:r>
          </w:p>
        </w:tc>
      </w:tr>
    </w:tbl>
    <w:p>
      <w:pPr>
        <w:spacing w:after="140"/>
      </w:pPr>
      <w:r>
        <w:t xml:space="preserve">El navegador nunca habla directo con un microservicio. Pasa por el gateway, y el gateway entrega al BFF, que es el único que conoce a los microservicios de negocio. El esquema completo de comunicación entre contenedores está en el </w:t>
      </w:r>
      <w:hyperlink r:id="rId11">
        <w:r>
          <w:rPr>
            <w:color w:val="002138"/>
            <w:u w:val="single"/>
            <w:rFonts w:ascii="Lato" w:hAnsi="Lato"/>
          </w:rPr>
          <w:t>Diagrama C2 · Contenedores</w:t>
        </w:r>
      </w:hyperlink>
      <w:r>
        <w:t>.</w:t>
      </w:r>
    </w:p>
    <w:p>
      <w:pPr>
        <w:pStyle w:val="Heading2"/>
        <w:spacing w:before="280" w:after="60"/>
      </w:pPr>
      <w:r>
        <w:rPr>
          <w:rFonts w:ascii="Merriweather" w:hAnsi="Merriweather"/>
          <w:b/>
          <w:color w:val="002138"/>
          <w:sz w:val="25"/>
        </w:rPr>
        <w:t>2.3 Componentes (C3)</w:t>
      </w:r>
    </w:p>
    <w:p>
      <w:pPr>
        <w:spacing w:after="140"/>
      </w:pPr>
      <w:r>
        <w:t>El contenedor más interesante a nivel de componentes es el BFF, porque ahí está la orquestación. Sus componentes internos son:</w:t>
      </w:r>
    </w:p>
    <w:p>
      <w:pPr>
        <w:pStyle w:val="ListBullet"/>
      </w:pPr>
      <w:r>
        <w:rPr>
          <w:b/>
        </w:rPr>
        <w:t>Controladores</w:t>
      </w:r>
      <w:r>
        <w:t xml:space="preserve"> (</w:t>
      </w:r>
      <w:r>
        <w:rPr>
          <w:rFonts w:ascii="Courier New" w:hAnsi="Courier New"/>
          <w:sz w:val="19"/>
          <w:shd w:val="clear" w:fill="EEEEEE"/>
        </w:rPr>
        <w:t>DashboardController</w:t>
      </w:r>
      <w:r>
        <w:t xml:space="preserve">, </w:t>
      </w:r>
      <w:r>
        <w:rPr>
          <w:rFonts w:ascii="Courier New" w:hAnsi="Courier New"/>
          <w:sz w:val="19"/>
          <w:shd w:val="clear" w:fill="EEEEEE"/>
        </w:rPr>
        <w:t>ProjectsController</w:t>
      </w:r>
      <w:r>
        <w:t xml:space="preserve">, etc.): exponen la API que consume el frontend. Son delgados: solo mapean HTTP y delegan; la lógica de negocio vive en los servicios y la lectura del token (rol y email) en el DTO </w:t>
      </w:r>
      <w:r>
        <w:rPr>
          <w:rFonts w:ascii="Courier New" w:hAnsi="Courier New"/>
          <w:sz w:val="19"/>
          <w:shd w:val="clear" w:fill="EEEEEE"/>
        </w:rPr>
        <w:t>AuthenticatedUser</w:t>
      </w:r>
      <w:r>
        <w:t>.</w:t>
      </w:r>
    </w:p>
    <w:p>
      <w:pPr>
        <w:pStyle w:val="ListBullet"/>
      </w:pPr>
      <w:r>
        <w:rPr>
          <w:b/>
        </w:rPr>
        <w:t>Servicios de dominio</w:t>
      </w:r>
      <w:r>
        <w:t xml:space="preserve"> (</w:t>
      </w:r>
      <w:r>
        <w:rPr>
          <w:rFonts w:ascii="Courier New" w:hAnsi="Courier New"/>
          <w:sz w:val="19"/>
          <w:shd w:val="clear" w:fill="EEEEEE"/>
        </w:rPr>
        <w:t>ProjectsService</w:t>
      </w:r>
      <w:r>
        <w:t xml:space="preserve">, </w:t>
      </w:r>
      <w:r>
        <w:rPr>
          <w:rFonts w:ascii="Courier New" w:hAnsi="Courier New"/>
          <w:sz w:val="19"/>
          <w:shd w:val="clear" w:fill="EEEEEE"/>
        </w:rPr>
        <w:t>ResourcesService</w:t>
      </w:r>
      <w:r>
        <w:t xml:space="preserve">, </w:t>
      </w:r>
      <w:r>
        <w:rPr>
          <w:rFonts w:ascii="Courier New" w:hAnsi="Courier New"/>
          <w:sz w:val="19"/>
          <w:shd w:val="clear" w:fill="EEEEEE"/>
        </w:rPr>
        <w:t>KpisService</w:t>
      </w:r>
      <w:r>
        <w:t xml:space="preserve">, </w:t>
      </w:r>
      <w:r>
        <w:rPr>
          <w:rFonts w:ascii="Courier New" w:hAnsi="Courier New"/>
          <w:sz w:val="19"/>
          <w:shd w:val="clear" w:fill="EEEEEE"/>
        </w:rPr>
        <w:t>TasksService</w:t>
      </w:r>
      <w:r>
        <w:t>): cada uno envuelve la llamada a un microservicio dentro de un Circuit Breaker y define qué pasa si ese microservicio no responde.</w:t>
      </w:r>
    </w:p>
    <w:p>
      <w:pPr>
        <w:pStyle w:val="ListBullet"/>
      </w:pPr>
      <w:r>
        <w:rPr>
          <w:b/>
        </w:rPr>
        <w:t>Clientes HTTP</w:t>
      </w:r>
      <w:r>
        <w:t xml:space="preserve"> (</w:t>
      </w:r>
      <w:r>
        <w:rPr>
          <w:rFonts w:ascii="Courier New" w:hAnsi="Courier New"/>
          <w:sz w:val="19"/>
          <w:shd w:val="clear" w:fill="EEEEEE"/>
        </w:rPr>
        <w:t>ProjectsClient</w:t>
      </w:r>
      <w:r>
        <w:t xml:space="preserve">, </w:t>
      </w:r>
      <w:r>
        <w:rPr>
          <w:rFonts w:ascii="Courier New" w:hAnsi="Courier New"/>
          <w:sz w:val="19"/>
          <w:shd w:val="clear" w:fill="EEEEEE"/>
        </w:rPr>
        <w:t>ResourcesClient</w:t>
      </w:r>
      <w:r>
        <w:t xml:space="preserve">, etc.): resuelven la dirección del microservicio vía Eureka y ejecutan la llamada con </w:t>
      </w:r>
      <w:r>
        <w:rPr>
          <w:rFonts w:ascii="Courier New" w:hAnsi="Courier New"/>
          <w:sz w:val="19"/>
          <w:shd w:val="clear" w:fill="EEEEEE"/>
        </w:rPr>
        <w:t>RestClient</w:t>
      </w:r>
      <w:r>
        <w:t>.</w:t>
      </w:r>
    </w:p>
    <w:p>
      <w:pPr>
        <w:pStyle w:val="ListBullet"/>
      </w:pPr>
      <w:r>
        <w:rPr>
          <w:b/>
        </w:rPr>
        <w:t>`DashboardDtoFactory`</w:t>
      </w:r>
      <w:r>
        <w:t>: arma el objeto de respuesta según el rol del usuario.</w:t>
      </w:r>
    </w:p>
    <w:p>
      <w:pPr>
        <w:spacing w:after="140"/>
      </w:pPr>
      <w:r>
        <w:t xml:space="preserve">La descomposición interna del BFF está en el </w:t>
      </w:r>
      <w:hyperlink r:id="rId12">
        <w:r>
          <w:rPr>
            <w:color w:val="002138"/>
            <w:u w:val="single"/>
            <w:rFonts w:ascii="Lato" w:hAnsi="Lato"/>
          </w:rPr>
          <w:t>Diagrama C3 · Componentes del BFF</w:t>
        </w:r>
      </w:hyperlink>
      <w:r>
        <w:t>.</w:t>
      </w:r>
    </w:p>
    <w:p>
      <w:pPr>
        <w:pStyle w:val="Heading1"/>
        <w:spacing w:before="280" w:after="60"/>
        <w:pBdr>
          <w:bottom w:val="single" w:sz="10" w:space="3" w:color="FFB800"/>
        </w:pBdr>
      </w:pPr>
      <w:r>
        <w:rPr>
          <w:rFonts w:ascii="Merriweather" w:hAnsi="Merriweather"/>
          <w:b/>
          <w:color w:val="002138"/>
          <w:sz w:val="30"/>
        </w:rPr>
        <w:t>3. Stack tecnológico</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fill="002138"/>
          </w:tcPr>
          <w:p>
            <w:r>
              <w:rPr>
                <w:b/>
                <w:color w:val="FFFFFF"/>
                <w:sz w:val="19"/>
              </w:rPr>
              <w:t>Capa</w:t>
            </w:r>
          </w:p>
        </w:tc>
        <w:tc>
          <w:tcPr>
            <w:tcW w:type="dxa" w:w="3249"/>
            <w:shd w:val="clear" w:fill="002138"/>
          </w:tcPr>
          <w:p>
            <w:r>
              <w:rPr>
                <w:b/>
                <w:color w:val="FFFFFF"/>
                <w:sz w:val="19"/>
              </w:rPr>
              <w:t>Tecnología</w:t>
            </w:r>
          </w:p>
        </w:tc>
        <w:tc>
          <w:tcPr>
            <w:tcW w:type="dxa" w:w="3249"/>
            <w:shd w:val="clear" w:fill="002138"/>
          </w:tcPr>
          <w:p>
            <w:r>
              <w:rPr>
                <w:b/>
                <w:color w:val="FFFFFF"/>
                <w:sz w:val="19"/>
              </w:rPr>
              <w:t>Versión</w:t>
            </w:r>
          </w:p>
        </w:tc>
      </w:tr>
      <w:tr>
        <w:tc>
          <w:tcPr>
            <w:tcW w:type="dxa" w:w="3249"/>
          </w:tcPr>
          <w:p>
            <w:r>
              <w:rPr>
                <w:sz w:val="19"/>
              </w:rPr>
              <w:t>Frontend</w:t>
            </w:r>
          </w:p>
        </w:tc>
        <w:tc>
          <w:tcPr>
            <w:tcW w:type="dxa" w:w="3249"/>
          </w:tcPr>
          <w:p>
            <w:r>
              <w:rPr>
                <w:sz w:val="19"/>
              </w:rPr>
              <w:t>React</w:t>
            </w:r>
          </w:p>
        </w:tc>
        <w:tc>
          <w:tcPr>
            <w:tcW w:type="dxa" w:w="3249"/>
          </w:tcPr>
          <w:p>
            <w:r>
              <w:rPr>
                <w:sz w:val="19"/>
              </w:rPr>
              <w:t>18.3.1</w:t>
            </w:r>
          </w:p>
        </w:tc>
      </w:tr>
      <w:tr>
        <w:tc>
          <w:tcPr>
            <w:tcW w:type="dxa" w:w="3249"/>
            <w:shd w:val="clear" w:fill="F4F4F4"/>
          </w:tcPr>
          <w:p/>
        </w:tc>
        <w:tc>
          <w:tcPr>
            <w:tcW w:type="dxa" w:w="3249"/>
            <w:shd w:val="clear" w:fill="F4F4F4"/>
          </w:tcPr>
          <w:p>
            <w:r>
              <w:rPr>
                <w:sz w:val="19"/>
              </w:rPr>
              <w:t>TypeScript</w:t>
            </w:r>
          </w:p>
        </w:tc>
        <w:tc>
          <w:tcPr>
            <w:tcW w:type="dxa" w:w="3249"/>
            <w:shd w:val="clear" w:fill="F4F4F4"/>
          </w:tcPr>
          <w:p>
            <w:r>
              <w:rPr>
                <w:sz w:val="19"/>
              </w:rPr>
              <w:t>5.6.3</w:t>
            </w:r>
          </w:p>
        </w:tc>
      </w:tr>
      <w:tr>
        <w:tc>
          <w:tcPr>
            <w:tcW w:type="dxa" w:w="3249"/>
          </w:tcPr>
          <w:p/>
        </w:tc>
        <w:tc>
          <w:tcPr>
            <w:tcW w:type="dxa" w:w="3249"/>
          </w:tcPr>
          <w:p>
            <w:r>
              <w:rPr>
                <w:sz w:val="19"/>
              </w:rPr>
              <w:t>Vite</w:t>
            </w:r>
          </w:p>
        </w:tc>
        <w:tc>
          <w:tcPr>
            <w:tcW w:type="dxa" w:w="3249"/>
          </w:tcPr>
          <w:p>
            <w:r>
              <w:rPr>
                <w:sz w:val="19"/>
              </w:rPr>
              <w:t>5.4.10</w:t>
            </w:r>
          </w:p>
        </w:tc>
      </w:tr>
      <w:tr>
        <w:tc>
          <w:tcPr>
            <w:tcW w:type="dxa" w:w="3249"/>
            <w:shd w:val="clear" w:fill="F4F4F4"/>
          </w:tcPr>
          <w:p/>
        </w:tc>
        <w:tc>
          <w:tcPr>
            <w:tcW w:type="dxa" w:w="3249"/>
            <w:shd w:val="clear" w:fill="F4F4F4"/>
          </w:tcPr>
          <w:p>
            <w:r>
              <w:rPr>
                <w:sz w:val="19"/>
              </w:rPr>
              <w:t>Tailwind CSS</w:t>
            </w:r>
          </w:p>
        </w:tc>
        <w:tc>
          <w:tcPr>
            <w:tcW w:type="dxa" w:w="3249"/>
            <w:shd w:val="clear" w:fill="F4F4F4"/>
          </w:tcPr>
          <w:p>
            <w:r>
              <w:rPr>
                <w:sz w:val="19"/>
              </w:rPr>
              <w:t>3.4.14</w:t>
            </w:r>
          </w:p>
        </w:tc>
      </w:tr>
      <w:tr>
        <w:tc>
          <w:tcPr>
            <w:tcW w:type="dxa" w:w="3249"/>
          </w:tcPr>
          <w:p/>
        </w:tc>
        <w:tc>
          <w:tcPr>
            <w:tcW w:type="dxa" w:w="3249"/>
          </w:tcPr>
          <w:p>
            <w:r>
              <w:rPr>
                <w:sz w:val="19"/>
              </w:rPr>
              <w:t>Axios</w:t>
            </w:r>
          </w:p>
        </w:tc>
        <w:tc>
          <w:tcPr>
            <w:tcW w:type="dxa" w:w="3249"/>
          </w:tcPr>
          <w:p>
            <w:r>
              <w:rPr>
                <w:sz w:val="19"/>
              </w:rPr>
              <w:t>1.7.7</w:t>
            </w:r>
          </w:p>
        </w:tc>
      </w:tr>
      <w:tr>
        <w:tc>
          <w:tcPr>
            <w:tcW w:type="dxa" w:w="3249"/>
            <w:shd w:val="clear" w:fill="F4F4F4"/>
          </w:tcPr>
          <w:p/>
        </w:tc>
        <w:tc>
          <w:tcPr>
            <w:tcW w:type="dxa" w:w="3249"/>
            <w:shd w:val="clear" w:fill="F4F4F4"/>
          </w:tcPr>
          <w:p>
            <w:r>
              <w:rPr>
                <w:sz w:val="19"/>
              </w:rPr>
              <w:t>React Router</w:t>
            </w:r>
          </w:p>
        </w:tc>
        <w:tc>
          <w:tcPr>
            <w:tcW w:type="dxa" w:w="3249"/>
            <w:shd w:val="clear" w:fill="F4F4F4"/>
          </w:tcPr>
          <w:p>
            <w:r>
              <w:rPr>
                <w:sz w:val="19"/>
              </w:rPr>
              <w:t>6.26.2</w:t>
            </w:r>
          </w:p>
        </w:tc>
      </w:tr>
      <w:tr>
        <w:tc>
          <w:tcPr>
            <w:tcW w:type="dxa" w:w="3249"/>
          </w:tcPr>
          <w:p/>
        </w:tc>
        <w:tc>
          <w:tcPr>
            <w:tcW w:type="dxa" w:w="3249"/>
          </w:tcPr>
          <w:p>
            <w:r>
              <w:rPr>
                <w:sz w:val="19"/>
              </w:rPr>
              <w:t>Recharts</w:t>
            </w:r>
          </w:p>
        </w:tc>
        <w:tc>
          <w:tcPr>
            <w:tcW w:type="dxa" w:w="3249"/>
          </w:tcPr>
          <w:p>
            <w:r>
              <w:rPr>
                <w:sz w:val="19"/>
              </w:rPr>
              <w:t>2.13.0</w:t>
            </w:r>
          </w:p>
        </w:tc>
      </w:tr>
      <w:tr>
        <w:tc>
          <w:tcPr>
            <w:tcW w:type="dxa" w:w="3249"/>
            <w:shd w:val="clear" w:fill="F4F4F4"/>
          </w:tcPr>
          <w:p>
            <w:r>
              <w:rPr>
                <w:sz w:val="19"/>
              </w:rPr>
              <w:t>Backend</w:t>
            </w:r>
          </w:p>
        </w:tc>
        <w:tc>
          <w:tcPr>
            <w:tcW w:type="dxa" w:w="3249"/>
            <w:shd w:val="clear" w:fill="F4F4F4"/>
          </w:tcPr>
          <w:p>
            <w:r>
              <w:rPr>
                <w:sz w:val="19"/>
              </w:rPr>
              <w:t>Java (JDK)</w:t>
            </w:r>
          </w:p>
        </w:tc>
        <w:tc>
          <w:tcPr>
            <w:tcW w:type="dxa" w:w="3249"/>
            <w:shd w:val="clear" w:fill="F4F4F4"/>
          </w:tcPr>
          <w:p>
            <w:r>
              <w:rPr>
                <w:sz w:val="19"/>
              </w:rPr>
              <w:t>25</w:t>
            </w:r>
          </w:p>
        </w:tc>
      </w:tr>
      <w:tr>
        <w:tc>
          <w:tcPr>
            <w:tcW w:type="dxa" w:w="3249"/>
          </w:tcPr>
          <w:p/>
        </w:tc>
        <w:tc>
          <w:tcPr>
            <w:tcW w:type="dxa" w:w="3249"/>
          </w:tcPr>
          <w:p>
            <w:r>
              <w:rPr>
                <w:sz w:val="19"/>
              </w:rPr>
              <w:t>Spring Boot</w:t>
            </w:r>
          </w:p>
        </w:tc>
        <w:tc>
          <w:tcPr>
            <w:tcW w:type="dxa" w:w="3249"/>
          </w:tcPr>
          <w:p>
            <w:r>
              <w:rPr>
                <w:sz w:val="19"/>
              </w:rPr>
              <w:t>4.0.0</w:t>
            </w:r>
          </w:p>
        </w:tc>
      </w:tr>
      <w:tr>
        <w:tc>
          <w:tcPr>
            <w:tcW w:type="dxa" w:w="3249"/>
            <w:shd w:val="clear" w:fill="F4F4F4"/>
          </w:tcPr>
          <w:p/>
        </w:tc>
        <w:tc>
          <w:tcPr>
            <w:tcW w:type="dxa" w:w="3249"/>
            <w:shd w:val="clear" w:fill="F4F4F4"/>
          </w:tcPr>
          <w:p>
            <w:r>
              <w:rPr>
                <w:sz w:val="19"/>
              </w:rPr>
              <w:t>Spring Cloud</w:t>
            </w:r>
          </w:p>
        </w:tc>
        <w:tc>
          <w:tcPr>
            <w:tcW w:type="dxa" w:w="3249"/>
            <w:shd w:val="clear" w:fill="F4F4F4"/>
          </w:tcPr>
          <w:p>
            <w:r>
              <w:rPr>
                <w:sz w:val="19"/>
              </w:rPr>
              <w:t>2025.1.0</w:t>
            </w:r>
          </w:p>
        </w:tc>
      </w:tr>
      <w:tr>
        <w:tc>
          <w:tcPr>
            <w:tcW w:type="dxa" w:w="3249"/>
          </w:tcPr>
          <w:p/>
        </w:tc>
        <w:tc>
          <w:tcPr>
            <w:tcW w:type="dxa" w:w="3249"/>
          </w:tcPr>
          <w:p>
            <w:r>
              <w:rPr>
                <w:sz w:val="19"/>
              </w:rPr>
              <w:t>Spring Cloud Gateway</w:t>
            </w:r>
          </w:p>
        </w:tc>
        <w:tc>
          <w:tcPr>
            <w:tcW w:type="dxa" w:w="3249"/>
          </w:tcPr>
          <w:p>
            <w:r>
              <w:rPr>
                <w:sz w:val="19"/>
              </w:rPr>
              <w:t>incluido en Spring Cloud</w:t>
            </w:r>
          </w:p>
        </w:tc>
      </w:tr>
      <w:tr>
        <w:tc>
          <w:tcPr>
            <w:tcW w:type="dxa" w:w="3249"/>
            <w:shd w:val="clear" w:fill="F4F4F4"/>
          </w:tcPr>
          <w:p/>
        </w:tc>
        <w:tc>
          <w:tcPr>
            <w:tcW w:type="dxa" w:w="3249"/>
            <w:shd w:val="clear" w:fill="F4F4F4"/>
          </w:tcPr>
          <w:p>
            <w:r>
              <w:rPr>
                <w:sz w:val="19"/>
              </w:rPr>
              <w:t>Eureka (Spring Cloud Netflix)</w:t>
            </w:r>
          </w:p>
        </w:tc>
        <w:tc>
          <w:tcPr>
            <w:tcW w:type="dxa" w:w="3249"/>
            <w:shd w:val="clear" w:fill="F4F4F4"/>
          </w:tcPr>
          <w:p>
            <w:r>
              <w:rPr>
                <w:sz w:val="19"/>
              </w:rPr>
              <w:t>incluido en Spring Cloud</w:t>
            </w:r>
          </w:p>
        </w:tc>
      </w:tr>
      <w:tr>
        <w:tc>
          <w:tcPr>
            <w:tcW w:type="dxa" w:w="3249"/>
          </w:tcPr>
          <w:p/>
        </w:tc>
        <w:tc>
          <w:tcPr>
            <w:tcW w:type="dxa" w:w="3249"/>
          </w:tcPr>
          <w:p>
            <w:r>
              <w:rPr>
                <w:sz w:val="19"/>
              </w:rPr>
              <w:t>Resilience4j</w:t>
            </w:r>
          </w:p>
        </w:tc>
        <w:tc>
          <w:tcPr>
            <w:tcW w:type="dxa" w:w="3249"/>
          </w:tcPr>
          <w:p>
            <w:r>
              <w:rPr>
                <w:sz w:val="19"/>
              </w:rPr>
              <w:t>2.2.0</w:t>
            </w:r>
          </w:p>
        </w:tc>
      </w:tr>
      <w:tr>
        <w:tc>
          <w:tcPr>
            <w:tcW w:type="dxa" w:w="3249"/>
            <w:shd w:val="clear" w:fill="F4F4F4"/>
          </w:tcPr>
          <w:p/>
        </w:tc>
        <w:tc>
          <w:tcPr>
            <w:tcW w:type="dxa" w:w="3249"/>
            <w:shd w:val="clear" w:fill="F4F4F4"/>
          </w:tcPr>
          <w:p>
            <w:r>
              <w:rPr>
                <w:sz w:val="19"/>
              </w:rPr>
              <w:t>SpringDoc OpenAPI</w:t>
            </w:r>
          </w:p>
        </w:tc>
        <w:tc>
          <w:tcPr>
            <w:tcW w:type="dxa" w:w="3249"/>
            <w:shd w:val="clear" w:fill="F4F4F4"/>
          </w:tcPr>
          <w:p>
            <w:r>
              <w:rPr>
                <w:sz w:val="19"/>
              </w:rPr>
              <w:t>3.0.3</w:t>
            </w:r>
          </w:p>
        </w:tc>
      </w:tr>
      <w:tr>
        <w:tc>
          <w:tcPr>
            <w:tcW w:type="dxa" w:w="3249"/>
          </w:tcPr>
          <w:p>
            <w:r>
              <w:rPr>
                <w:sz w:val="19"/>
              </w:rPr>
              <w:t>Persistencia</w:t>
            </w:r>
          </w:p>
        </w:tc>
        <w:tc>
          <w:tcPr>
            <w:tcW w:type="dxa" w:w="3249"/>
          </w:tcPr>
          <w:p>
            <w:r>
              <w:rPr>
                <w:sz w:val="19"/>
              </w:rPr>
              <w:t>PostgreSQL</w:t>
            </w:r>
          </w:p>
        </w:tc>
        <w:tc>
          <w:tcPr>
            <w:tcW w:type="dxa" w:w="3249"/>
          </w:tcPr>
          <w:p>
            <w:r>
              <w:rPr>
                <w:sz w:val="19"/>
              </w:rPr>
              <w:t>16</w:t>
            </w:r>
          </w:p>
        </w:tc>
      </w:tr>
      <w:tr>
        <w:tc>
          <w:tcPr>
            <w:tcW w:type="dxa" w:w="3249"/>
            <w:shd w:val="clear" w:fill="F4F4F4"/>
          </w:tcPr>
          <w:p/>
        </w:tc>
        <w:tc>
          <w:tcPr>
            <w:tcW w:type="dxa" w:w="3249"/>
            <w:shd w:val="clear" w:fill="F4F4F4"/>
          </w:tcPr>
          <w:p>
            <w:r>
              <w:rPr>
                <w:sz w:val="19"/>
              </w:rPr>
              <w:t>Flyway (migraciones)</w:t>
            </w:r>
          </w:p>
        </w:tc>
        <w:tc>
          <w:tcPr>
            <w:tcW w:type="dxa" w:w="3249"/>
            <w:shd w:val="clear" w:fill="F4F4F4"/>
          </w:tcPr>
          <w:p>
            <w:r>
              <w:rPr>
                <w:sz w:val="19"/>
              </w:rPr>
              <w:t>gestionado por Spring Boot</w:t>
            </w:r>
          </w:p>
        </w:tc>
      </w:tr>
      <w:tr>
        <w:tc>
          <w:tcPr>
            <w:tcW w:type="dxa" w:w="3249"/>
          </w:tcPr>
          <w:p>
            <w:r>
              <w:rPr>
                <w:sz w:val="19"/>
              </w:rPr>
              <w:t>Identidad</w:t>
            </w:r>
          </w:p>
        </w:tc>
        <w:tc>
          <w:tcPr>
            <w:tcW w:type="dxa" w:w="3249"/>
          </w:tcPr>
          <w:p>
            <w:r>
              <w:rPr>
                <w:sz w:val="19"/>
              </w:rPr>
              <w:t>Keycloak</w:t>
            </w:r>
          </w:p>
        </w:tc>
        <w:tc>
          <w:tcPr>
            <w:tcW w:type="dxa" w:w="3249"/>
          </w:tcPr>
          <w:p>
            <w:r>
              <w:rPr>
                <w:sz w:val="19"/>
              </w:rPr>
              <w:t>24.0</w:t>
            </w:r>
          </w:p>
        </w:tc>
      </w:tr>
      <w:tr>
        <w:tc>
          <w:tcPr>
            <w:tcW w:type="dxa" w:w="3249"/>
            <w:shd w:val="clear" w:fill="F4F4F4"/>
          </w:tcPr>
          <w:p>
            <w:r>
              <w:rPr>
                <w:sz w:val="19"/>
              </w:rPr>
              <w:t>Infraestructura</w:t>
            </w:r>
          </w:p>
        </w:tc>
        <w:tc>
          <w:tcPr>
            <w:tcW w:type="dxa" w:w="3249"/>
            <w:shd w:val="clear" w:fill="F4F4F4"/>
          </w:tcPr>
          <w:p>
            <w:r>
              <w:rPr>
                <w:sz w:val="19"/>
              </w:rPr>
              <w:t>Nginx</w:t>
            </w:r>
          </w:p>
        </w:tc>
        <w:tc>
          <w:tcPr>
            <w:tcW w:type="dxa" w:w="3249"/>
            <w:shd w:val="clear" w:fill="F4F4F4"/>
          </w:tcPr>
          <w:p>
            <w:r>
              <w:rPr>
                <w:sz w:val="19"/>
              </w:rPr>
              <w:t>alpine</w:t>
            </w:r>
          </w:p>
        </w:tc>
      </w:tr>
      <w:tr>
        <w:tc>
          <w:tcPr>
            <w:tcW w:type="dxa" w:w="3249"/>
          </w:tcPr>
          <w:p/>
        </w:tc>
        <w:tc>
          <w:tcPr>
            <w:tcW w:type="dxa" w:w="3249"/>
          </w:tcPr>
          <w:p>
            <w:r>
              <w:rPr>
                <w:sz w:val="19"/>
              </w:rPr>
              <w:t>Ingress NGINX</w:t>
            </w:r>
          </w:p>
        </w:tc>
        <w:tc>
          <w:tcPr>
            <w:tcW w:type="dxa" w:w="3249"/>
          </w:tcPr>
          <w:p>
            <w:r>
              <w:rPr>
                <w:sz w:val="19"/>
              </w:rPr>
              <w:t>controller v1.11.3</w:t>
            </w:r>
          </w:p>
        </w:tc>
      </w:tr>
      <w:tr>
        <w:tc>
          <w:tcPr>
            <w:tcW w:type="dxa" w:w="3249"/>
            <w:shd w:val="clear" w:fill="F4F4F4"/>
          </w:tcPr>
          <w:p/>
        </w:tc>
        <w:tc>
          <w:tcPr>
            <w:tcW w:type="dxa" w:w="3249"/>
            <w:shd w:val="clear" w:fill="F4F4F4"/>
          </w:tcPr>
          <w:p>
            <w:r>
              <w:rPr>
                <w:sz w:val="19"/>
              </w:rPr>
              <w:t>Kubernetes</w:t>
            </w:r>
          </w:p>
        </w:tc>
        <w:tc>
          <w:tcPr>
            <w:tcW w:type="dxa" w:w="3249"/>
            <w:shd w:val="clear" w:fill="F4F4F4"/>
          </w:tcPr>
          <w:p>
            <w:r>
              <w:rPr>
                <w:sz w:val="19"/>
              </w:rPr>
              <w:t>Docker Desktop (kind)</w:t>
            </w:r>
          </w:p>
        </w:tc>
      </w:tr>
    </w:tbl>
    <w:p>
      <w:pPr>
        <w:spacing w:after="140"/>
      </w:pPr>
      <w:r>
        <w:t>La elección apunta a un stack actual y coherente: todo el backend comparte versión de Spring Boot y Spring Cloud desde un POM padre, lo que evita conflictos de dependencias entre módulos.</w:t>
      </w:r>
    </w:p>
    <w:p>
      <w:pPr>
        <w:pStyle w:val="Heading1"/>
        <w:spacing w:before="280" w:after="60"/>
        <w:pBdr>
          <w:bottom w:val="single" w:sz="10" w:space="3" w:color="FFB800"/>
        </w:pBdr>
      </w:pPr>
      <w:r>
        <w:rPr>
          <w:rFonts w:ascii="Merriweather" w:hAnsi="Merriweather"/>
          <w:b/>
          <w:color w:val="002138"/>
          <w:sz w:val="30"/>
        </w:rPr>
        <w:t>4. Cómo se conectan las capas</w:t>
      </w:r>
    </w:p>
    <w:p>
      <w:pPr>
        <w:spacing w:after="140"/>
      </w:pPr>
      <w:r>
        <w:t>El recorrido de una petición muestra cómo encajan las piezas. Tomemos el caso en que un directivo abre su dashboard.</w:t>
      </w:r>
    </w:p>
    <w:p>
      <w:pPr>
        <w:spacing w:after="140"/>
      </w:pPr>
      <w:r>
        <w:t xml:space="preserve">1. El navegador carga la SPA desde </w:t>
      </w:r>
      <w:r>
        <w:rPr>
          <w:rFonts w:ascii="Courier New" w:hAnsi="Courier New"/>
          <w:sz w:val="19"/>
          <w:shd w:val="clear" w:fill="EEEEEE"/>
        </w:rPr>
        <w:t>http://innovatech.localhost</w:t>
      </w:r>
      <w:r>
        <w:t xml:space="preserve">, servida por el Ingress. 2. Si no hay sesión, el frontend pide un token a Keycloak con usuario y contraseña (flujo *password grant*). Keycloak valida contra su base y devuelve un JWT firmado, que el frontend guarda en </w:t>
      </w:r>
      <w:r>
        <w:rPr>
          <w:rFonts w:ascii="Courier New" w:hAnsi="Courier New"/>
          <w:sz w:val="19"/>
          <w:shd w:val="clear" w:fill="EEEEEE"/>
        </w:rPr>
        <w:t>localStorage</w:t>
      </w:r>
      <w:r>
        <w:t xml:space="preserve">. 3. El frontend llama a </w:t>
      </w:r>
      <w:r>
        <w:rPr>
          <w:rFonts w:ascii="Courier New" w:hAnsi="Courier New"/>
          <w:sz w:val="19"/>
          <w:shd w:val="clear" w:fill="EEEEEE"/>
        </w:rPr>
        <w:t>GET http://localhost:9000/api/dashboard</w:t>
      </w:r>
      <w:r>
        <w:t xml:space="preserve"> y adjunta el token en la cabecera </w:t>
      </w:r>
      <w:r>
        <w:rPr>
          <w:rFonts w:ascii="Courier New" w:hAnsi="Courier New"/>
          <w:sz w:val="19"/>
          <w:shd w:val="clear" w:fill="EEEEEE"/>
        </w:rPr>
        <w:t>Authorization: Bearer</w:t>
      </w:r>
      <w:r>
        <w:t xml:space="preserve">. 4. El </w:t>
      </w:r>
      <w:r>
        <w:rPr>
          <w:b/>
        </w:rPr>
        <w:t>API Gateway</w:t>
      </w:r>
      <w:r>
        <w:t xml:space="preserve"> recibe la llamada, valida la firma del token contra la clave pública de Keycloak (endpoint JWK), quita el prefijo </w:t>
      </w:r>
      <w:r>
        <w:rPr>
          <w:rFonts w:ascii="Courier New" w:hAnsi="Courier New"/>
          <w:sz w:val="19"/>
          <w:shd w:val="clear" w:fill="EEEEEE"/>
        </w:rPr>
        <w:t>/api</w:t>
      </w:r>
      <w:r>
        <w:t xml:space="preserve"> y enruta hacia el BFF. La dirección del BFF la resuelve por Eureka, no está fija en configuración. 5. El </w:t>
      </w:r>
      <w:r>
        <w:rPr>
          <w:b/>
        </w:rPr>
        <w:t>BFF</w:t>
      </w:r>
      <w:r>
        <w:t xml:space="preserve"> vuelve a validar el token (defensa en profundidad), extrae el rol y el email, y llama a los microservicios que necesita: a ms-analytics por los KPIs y a ms-projects por los proyectos. Cada llamada va envuelta en un Circuit Breaker. 6. Los </w:t>
      </w:r>
      <w:r>
        <w:rPr>
          <w:b/>
        </w:rPr>
        <w:t>microservicios</w:t>
      </w:r>
      <w:r>
        <w:t xml:space="preserve"> consultan su propia base PostgreSQL con JPA y devuelven JSON. 7. El BFF arma el objeto del dashboard según el rol (un directivo no recibe lo mismo que un desarrollador) y responde. 8. El gateway devuelve la respuesta al navegador y React la pinta.</w:t>
      </w:r>
    </w:p>
    <w:p>
      <w:pPr>
        <w:spacing w:after="140"/>
      </w:pPr>
      <w:r>
        <w:t>La autorización se valida en dos puntos: el gateway corta lo que llega sin token válido, y el BFF lo confirma antes de orquestar. Las rutas públicas (login, health, documentación) están explícitamente exceptuadas.</w:t>
      </w:r>
    </w:p>
    <w:p>
      <w:pPr>
        <w:pStyle w:val="Heading1"/>
        <w:spacing w:before="280" w:after="60"/>
        <w:pBdr>
          <w:bottom w:val="single" w:sz="10" w:space="3" w:color="FFB800"/>
        </w:pBdr>
      </w:pPr>
      <w:r>
        <w:rPr>
          <w:rFonts w:ascii="Merriweather" w:hAnsi="Merriweather"/>
          <w:b/>
          <w:color w:val="002138"/>
          <w:sz w:val="30"/>
        </w:rPr>
        <w:t>5. Patrones de diseño</w:t>
      </w:r>
    </w:p>
    <w:p>
      <w:pPr>
        <w:pStyle w:val="Heading2"/>
        <w:spacing w:before="280" w:after="60"/>
      </w:pPr>
      <w:r>
        <w:rPr>
          <w:rFonts w:ascii="Merriweather" w:hAnsi="Merriweather"/>
          <w:b/>
          <w:color w:val="002138"/>
          <w:sz w:val="25"/>
        </w:rPr>
        <w:t>5.1 Repository</w:t>
      </w:r>
    </w:p>
    <w:p>
      <w:pPr>
        <w:spacing w:after="140"/>
      </w:pPr>
      <w:r>
        <w:t xml:space="preserve">Cada microservicio abstrae el acceso a su base con interfaces que extienden </w:t>
      </w:r>
      <w:r>
        <w:rPr>
          <w:rFonts w:ascii="Courier New" w:hAnsi="Courier New"/>
          <w:sz w:val="19"/>
          <w:shd w:val="clear" w:fill="EEEEEE"/>
        </w:rPr>
        <w:t>JpaRepository</w:t>
      </w:r>
      <w:r>
        <w:t>. La lógica de negocio trabaja contra esas interfaces y no contra SQL, lo que facilita las pruebas (se pueden simular) y deja que Spring Data genere las consultas a partir del nombre del método.</w:t>
      </w:r>
    </w:p>
    <w:p>
      <w:pPr>
        <w:spacing w:after="140"/>
      </w:pPr>
      <w:r>
        <w:t>Ejemplo real en ms-resources (</w:t>
      </w:r>
      <w:r>
        <w:rPr>
          <w:rFonts w:ascii="Courier New" w:hAnsi="Courier New"/>
          <w:sz w:val="19"/>
          <w:shd w:val="clear" w:fill="EEEEEE"/>
        </w:rPr>
        <w:t>ResourceRepository</w:t>
      </w:r>
      <w:r>
        <w:t>):</w:t>
      </w:r>
    </w:p>
    <w:p>
      <w:pPr>
        <w:shd w:val="clear" w:fill="F5F5F5"/>
        <w:spacing w:before="80" w:after="160"/>
        <w:ind w:left="113"/>
      </w:pPr>
      <w:r>
        <w:rPr>
          <w:rFonts w:ascii="Courier New" w:hAnsi="Courier New"/>
          <w:sz w:val="18"/>
        </w:rPr>
        <w:t>public interface ResourceRepository extends JpaRepository&lt;Resource, Long&gt; {</w:t>
        <w:br/>
      </w:r>
      <w:r>
        <w:rPr>
          <w:rFonts w:ascii="Courier New" w:hAnsi="Courier New"/>
          <w:sz w:val="18"/>
        </w:rPr>
        <w:t xml:space="preserve">    boolean existsByEmail(String email);</w:t>
        <w:br/>
      </w:r>
      <w:r>
        <w:rPr>
          <w:rFonts w:ascii="Courier New" w:hAnsi="Courier New"/>
          <w:sz w:val="18"/>
        </w:rPr>
        <w:t xml:space="preserve">    Optional&lt;Resource&gt; findByEmail(String email);</w:t>
        <w:br/>
      </w:r>
      <w:r>
        <w:rPr>
          <w:rFonts w:ascii="Courier New" w:hAnsi="Courier New"/>
          <w:sz w:val="18"/>
        </w:rPr>
        <w:t>}</w:t>
      </w:r>
    </w:p>
    <w:p>
      <w:pPr>
        <w:spacing w:after="140"/>
      </w:pPr>
      <w:r>
        <w:t xml:space="preserve">Ver </w:t>
      </w:r>
      <w:hyperlink r:id="rId13">
        <w:r>
          <w:rPr>
            <w:color w:val="002138"/>
            <w:u w:val="single"/>
            <w:rFonts w:ascii="Lato" w:hAnsi="Lato"/>
          </w:rPr>
          <w:t>Diagrama · Patrón Repository</w:t>
        </w:r>
      </w:hyperlink>
      <w:r>
        <w:t>.</w:t>
      </w:r>
    </w:p>
    <w:p>
      <w:pPr>
        <w:pStyle w:val="Heading2"/>
        <w:spacing w:before="280" w:after="60"/>
      </w:pPr>
      <w:r>
        <w:rPr>
          <w:rFonts w:ascii="Merriweather" w:hAnsi="Merriweather"/>
          <w:b/>
          <w:color w:val="002138"/>
          <w:sz w:val="25"/>
        </w:rPr>
        <w:t>5.2 Factory Method</w:t>
      </w:r>
    </w:p>
    <w:p>
      <w:pPr>
        <w:spacing w:after="140"/>
      </w:pPr>
      <w:r>
        <w:t xml:space="preserve">El BFF arma un dashboard distinto por rol. En vez de llenar el controlador de condicionales, </w:t>
      </w:r>
      <w:r>
        <w:rPr>
          <w:rFonts w:ascii="Courier New" w:hAnsi="Courier New"/>
          <w:sz w:val="19"/>
          <w:shd w:val="clear" w:fill="EEEEEE"/>
        </w:rPr>
        <w:t>DashboardDtoFactory</w:t>
      </w:r>
      <w:r>
        <w:t xml:space="preserve"> decide qué objeto construir según el rol que viene en el token:</w:t>
      </w:r>
    </w:p>
    <w:p>
      <w:pPr>
        <w:shd w:val="clear" w:fill="F5F5F5"/>
        <w:spacing w:before="80" w:after="160"/>
        <w:ind w:left="113"/>
      </w:pPr>
      <w:r>
        <w:rPr>
          <w:rFonts w:ascii="Courier New" w:hAnsi="Courier New"/>
          <w:sz w:val="18"/>
        </w:rPr>
        <w:t>public DashboardDto create(UserRole role, String email) {</w:t>
        <w:br/>
      </w:r>
      <w:r>
        <w:rPr>
          <w:rFonts w:ascii="Courier New" w:hAnsi="Courier New"/>
          <w:sz w:val="18"/>
        </w:rPr>
        <w:t xml:space="preserve">    return switch (role) {</w:t>
        <w:br/>
      </w:r>
      <w:r>
        <w:rPr>
          <w:rFonts w:ascii="Courier New" w:hAnsi="Courier New"/>
          <w:sz w:val="18"/>
        </w:rPr>
        <w:t xml:space="preserve">        case PM  -&gt; pmDashboard(kpi, projects);</w:t>
        <w:br/>
      </w:r>
      <w:r>
        <w:rPr>
          <w:rFonts w:ascii="Courier New" w:hAnsi="Courier New"/>
          <w:sz w:val="18"/>
        </w:rPr>
        <w:t xml:space="preserve">        case DEV -&gt; devDashboard(projects, email);</w:t>
        <w:br/>
      </w:r>
      <w:r>
        <w:rPr>
          <w:rFonts w:ascii="Courier New" w:hAnsi="Courier New"/>
          <w:sz w:val="18"/>
        </w:rPr>
        <w:t xml:space="preserve">        case DIR -&gt; dirDashboard(kpi);</w:t>
        <w:br/>
      </w:r>
      <w:r>
        <w:rPr>
          <w:rFonts w:ascii="Courier New" w:hAnsi="Courier New"/>
          <w:sz w:val="18"/>
        </w:rPr>
        <w:t xml:space="preserve">    };</w:t>
        <w:br/>
      </w:r>
      <w:r>
        <w:rPr>
          <w:rFonts w:ascii="Courier New" w:hAnsi="Courier New"/>
          <w:sz w:val="18"/>
        </w:rPr>
        <w:t>}</w:t>
      </w:r>
    </w:p>
    <w:p>
      <w:pPr>
        <w:spacing w:after="140"/>
      </w:pPr>
      <w:r>
        <w:t>El tipo de retorno es una interfaz sellada (</w:t>
      </w:r>
      <w:r>
        <w:rPr>
          <w:rFonts w:ascii="Courier New" w:hAnsi="Courier New"/>
          <w:sz w:val="19"/>
          <w:shd w:val="clear" w:fill="EEEEEE"/>
        </w:rPr>
        <w:t>sealed interface DashboardDto</w:t>
      </w:r>
      <w:r>
        <w:t xml:space="preserve">) con un *record* por cada variante. El compilador obliga a cubrir todos los roles, así que agregar un perfil nuevo es agregar un caso y el compilador avisa si falta. Ver </w:t>
      </w:r>
      <w:hyperlink r:id="rId14">
        <w:r>
          <w:rPr>
            <w:color w:val="002138"/>
            <w:u w:val="single"/>
            <w:rFonts w:ascii="Lato" w:hAnsi="Lato"/>
          </w:rPr>
          <w:t>Diagrama · Patrón Factory Method</w:t>
        </w:r>
      </w:hyperlink>
      <w:r>
        <w:t>.</w:t>
      </w:r>
    </w:p>
    <w:p>
      <w:pPr>
        <w:pStyle w:val="Heading2"/>
        <w:spacing w:before="280" w:after="60"/>
      </w:pPr>
      <w:r>
        <w:rPr>
          <w:rFonts w:ascii="Merriweather" w:hAnsi="Merriweather"/>
          <w:b/>
          <w:color w:val="002138"/>
          <w:sz w:val="25"/>
        </w:rPr>
        <w:t>5.3 Circuit Breaker</w:t>
      </w:r>
    </w:p>
    <w:p>
      <w:pPr>
        <w:spacing w:after="140"/>
      </w:pPr>
      <w:r>
        <w:t>Las llamadas entre servicios pueden fallar, y sin protección un servicio caído arrastra a los demás. Con Resilience4j, cada llamada del BFF (y de ms-analytics) pasa por un Circuit Breaker configurado con ventana de 10 peticiones, umbral de fallo del 50%, tiempo límite de 3 segundos y 30 segundos en estado abierto antes de reintentar.</w:t>
      </w:r>
    </w:p>
    <w:p>
      <w:pPr>
        <w:spacing w:after="140"/>
      </w:pPr>
      <w:r>
        <w:t>La parte importante es el *fallback*. Si ms-projects no responde, el BFF no revienta: devuelve una respuesta marcada como "datos no disponibles" con la lista vacía.</w:t>
      </w:r>
    </w:p>
    <w:p>
      <w:pPr>
        <w:shd w:val="clear" w:fill="F5F5F5"/>
        <w:spacing w:before="80" w:after="160"/>
        <w:ind w:left="113"/>
      </w:pPr>
      <w:r>
        <w:rPr>
          <w:rFonts w:ascii="Courier New" w:hAnsi="Courier New"/>
          <w:sz w:val="18"/>
        </w:rPr>
        <w:t>public ProjectsResponse list() {</w:t>
        <w:br/>
      </w:r>
      <w:r>
        <w:rPr>
          <w:rFonts w:ascii="Courier New" w:hAnsi="Courier New"/>
          <w:sz w:val="18"/>
        </w:rPr>
        <w:t xml:space="preserve">    return breakers.create("projects").run(</w:t>
        <w:br/>
      </w:r>
      <w:r>
        <w:rPr>
          <w:rFonts w:ascii="Courier New" w:hAnsi="Courier New"/>
          <w:sz w:val="18"/>
        </w:rPr>
        <w:t xml:space="preserve">        () -&gt; ProjectsResponse.ok(client.list()),</w:t>
        <w:br/>
      </w:r>
      <w:r>
        <w:rPr>
          <w:rFonts w:ascii="Courier New" w:hAnsi="Courier New"/>
          <w:sz w:val="18"/>
        </w:rPr>
        <w:t xml:space="preserve">        ex -&gt; ProjectsResponse.unavailable());</w:t>
        <w:br/>
      </w:r>
      <w:r>
        <w:rPr>
          <w:rFonts w:ascii="Courier New" w:hAnsi="Courier New"/>
          <w:sz w:val="18"/>
        </w:rPr>
        <w:t>}</w:t>
      </w:r>
    </w:p>
    <w:p>
      <w:pPr>
        <w:spacing w:after="140"/>
      </w:pPr>
      <w:r>
        <w:t xml:space="preserve">Es una decisión deliberada: ante una caída, preferimos mostrar "no disponible" antes que arriesgar datos viejos sobre carga de personas o avance de proyectos. Ver </w:t>
      </w:r>
      <w:hyperlink r:id="rId15">
        <w:r>
          <w:rPr>
            <w:color w:val="002138"/>
            <w:u w:val="single"/>
            <w:rFonts w:ascii="Lato" w:hAnsi="Lato"/>
          </w:rPr>
          <w:t>Diagrama · Patrón Circuit Breaker</w:t>
        </w:r>
      </w:hyperlink>
      <w:r>
        <w:t>.</w:t>
      </w:r>
    </w:p>
    <w:p>
      <w:pPr>
        <w:pStyle w:val="Heading2"/>
        <w:spacing w:before="280" w:after="60"/>
      </w:pPr>
      <w:r>
        <w:rPr>
          <w:rFonts w:ascii="Merriweather" w:hAnsi="Merriweather"/>
          <w:b/>
          <w:color w:val="002138"/>
          <w:sz w:val="25"/>
        </w:rPr>
        <w:t>5.4 API Gateway</w:t>
      </w:r>
    </w:p>
    <w:p>
      <w:pPr>
        <w:spacing w:after="140"/>
      </w:pPr>
      <w:r>
        <w:t>El gateway es el único punto de entrada público. Centraliza tres cosas que de otro modo habría que repetir en cada servicio: la validación del token, el CORS y el enrutamiento. Una sola ruta cubre toda la API:</w:t>
      </w:r>
    </w:p>
    <w:p>
      <w:pPr>
        <w:shd w:val="clear" w:fill="F5F5F5"/>
        <w:spacing w:before="80" w:after="160"/>
        <w:ind w:left="113"/>
      </w:pPr>
      <w:r>
        <w:rPr>
          <w:rFonts w:ascii="Courier New" w:hAnsi="Courier New"/>
          <w:sz w:val="18"/>
        </w:rPr>
        <w:t>routes:</w:t>
        <w:br/>
      </w:r>
      <w:r>
        <w:rPr>
          <w:rFonts w:ascii="Courier New" w:hAnsi="Courier New"/>
          <w:sz w:val="18"/>
        </w:rPr>
        <w:t xml:space="preserve">  - id: bff-route</w:t>
        <w:br/>
      </w:r>
      <w:r>
        <w:rPr>
          <w:rFonts w:ascii="Courier New" w:hAnsi="Courier New"/>
          <w:sz w:val="18"/>
        </w:rPr>
        <w:t xml:space="preserve">    uri: lb://bff          # resuelto por Eureka</w:t>
        <w:br/>
      </w:r>
      <w:r>
        <w:rPr>
          <w:rFonts w:ascii="Courier New" w:hAnsi="Courier New"/>
          <w:sz w:val="18"/>
        </w:rPr>
        <w:t xml:space="preserve">    predicates:</w:t>
        <w:br/>
      </w:r>
      <w:r>
        <w:rPr>
          <w:rFonts w:ascii="Courier New" w:hAnsi="Courier New"/>
          <w:sz w:val="18"/>
        </w:rPr>
        <w:t xml:space="preserve">      - Path=/api/**</w:t>
        <w:br/>
      </w:r>
      <w:r>
        <w:rPr>
          <w:rFonts w:ascii="Courier New" w:hAnsi="Courier New"/>
          <w:sz w:val="18"/>
        </w:rPr>
        <w:t xml:space="preserve">    filters:</w:t>
        <w:br/>
      </w:r>
      <w:r>
        <w:rPr>
          <w:rFonts w:ascii="Courier New" w:hAnsi="Courier New"/>
          <w:sz w:val="18"/>
        </w:rPr>
        <w:t xml:space="preserve">      - StripPrefix=1       # /api/dashboard -&gt; /dashboard</w:t>
      </w:r>
    </w:p>
    <w:p>
      <w:pPr>
        <w:spacing w:after="140"/>
      </w:pPr>
      <w:r>
        <w:t xml:space="preserve">Los servicios internos no conocen la URL pública ni el prefijo </w:t>
      </w:r>
      <w:r>
        <w:rPr>
          <w:rFonts w:ascii="Courier New" w:hAnsi="Courier New"/>
          <w:sz w:val="19"/>
          <w:shd w:val="clear" w:fill="EEEEEE"/>
        </w:rPr>
        <w:t>/api</w:t>
      </w:r>
      <w:r>
        <w:t xml:space="preserve">; eso es un detalle que vive solo en el gateway. Ver </w:t>
      </w:r>
      <w:hyperlink r:id="rId16">
        <w:r>
          <w:rPr>
            <w:color w:val="002138"/>
            <w:u w:val="single"/>
            <w:rFonts w:ascii="Lato" w:hAnsi="Lato"/>
          </w:rPr>
          <w:t>Diagrama · Patrón API Gateway</w:t>
        </w:r>
      </w:hyperlink>
      <w:r>
        <w:t>.</w:t>
      </w:r>
    </w:p>
    <w:p>
      <w:pPr>
        <w:pStyle w:val="Heading2"/>
        <w:spacing w:before="280" w:after="60"/>
      </w:pPr>
      <w:r>
        <w:rPr>
          <w:rFonts w:ascii="Merriweather" w:hAnsi="Merriweather"/>
          <w:b/>
          <w:color w:val="002138"/>
          <w:sz w:val="25"/>
        </w:rPr>
        <w:t>5.5 Backend for Frontend (BFF)</w:t>
      </w:r>
    </w:p>
    <w:p>
      <w:pPr>
        <w:spacing w:after="140"/>
      </w:pPr>
      <w:r>
        <w:t xml:space="preserve">El frontend necesita un dashboard que combina datos de tres microservicios. Sin BFF, el navegador tendría que hacer varias llamadas y armar el resultado en JavaScript. El BFF mueve esa orquestación al servidor: el frontend hace una sola llamada a </w:t>
      </w:r>
      <w:r>
        <w:rPr>
          <w:rFonts w:ascii="Courier New" w:hAnsi="Courier New"/>
          <w:sz w:val="19"/>
          <w:shd w:val="clear" w:fill="EEEEEE"/>
        </w:rPr>
        <w:t>/dashboard</w:t>
      </w:r>
      <w:r>
        <w:t xml:space="preserve"> y recibe justo lo que tiene que pintar, ya filtrado por rol.</w:t>
      </w:r>
    </w:p>
    <w:p>
      <w:pPr>
        <w:spacing w:after="140"/>
      </w:pPr>
      <w:r>
        <w:t xml:space="preserve">Además concentra la tolerancia a fallos (los Circuit Breakers viven acá) y la adaptación de formato. El frontend queda simple y el dominio de cada microservicio no se contamina con necesidades de la interfaz. Ver </w:t>
      </w:r>
      <w:hyperlink r:id="rId17">
        <w:r>
          <w:rPr>
            <w:color w:val="002138"/>
            <w:u w:val="single"/>
            <w:rFonts w:ascii="Lato" w:hAnsi="Lato"/>
          </w:rPr>
          <w:t>Diagrama · Patrón BFF</w:t>
        </w:r>
      </w:hyperlink>
      <w:r>
        <w:t>.</w:t>
      </w:r>
    </w:p>
    <w:p>
      <w:pPr>
        <w:pStyle w:val="Heading2"/>
        <w:spacing w:before="280" w:after="60"/>
      </w:pPr>
      <w:r>
        <w:rPr>
          <w:rFonts w:ascii="Merriweather" w:hAnsi="Merriweather"/>
          <w:b/>
          <w:color w:val="002138"/>
          <w:sz w:val="25"/>
        </w:rPr>
        <w:t>5.6 Service Discovery (Eureka)</w:t>
      </w:r>
    </w:p>
    <w:p>
      <w:pPr>
        <w:spacing w:after="140"/>
      </w:pPr>
      <w:r>
        <w:t>Ningún servicio tiene direcciones de otros escritas a mano. Todos se registran en Eureka al arrancar, y cuando uno necesita a otro pregunta por nombre (</w:t>
      </w:r>
      <w:r>
        <w:rPr>
          <w:rFonts w:ascii="Courier New" w:hAnsi="Courier New"/>
          <w:sz w:val="19"/>
          <w:shd w:val="clear" w:fill="EEEEEE"/>
        </w:rPr>
        <w:t>lb://bff</w:t>
      </w:r>
      <w:r>
        <w:t xml:space="preserve">, </w:t>
      </w:r>
      <w:r>
        <w:rPr>
          <w:rFonts w:ascii="Courier New" w:hAnsi="Courier New"/>
          <w:sz w:val="19"/>
          <w:shd w:val="clear" w:fill="EEEEEE"/>
        </w:rPr>
        <w:t>http://ms-projects</w:t>
      </w:r>
      <w:r>
        <w:t>). Esto sostiene el despliegue en Kubernetes, donde las IP de los pods cambian, y deja la puerta abierta a correr más de una instancia de un servicio.</w:t>
      </w:r>
    </w:p>
    <w:p>
      <w:pPr>
        <w:pStyle w:val="Heading1"/>
        <w:spacing w:before="280" w:after="60"/>
        <w:pBdr>
          <w:bottom w:val="single" w:sz="10" w:space="3" w:color="FFB800"/>
        </w:pBdr>
      </w:pPr>
      <w:r>
        <w:rPr>
          <w:rFonts w:ascii="Merriweather" w:hAnsi="Merriweather"/>
          <w:b/>
          <w:color w:val="002138"/>
          <w:sz w:val="30"/>
        </w:rPr>
        <w:t>6. Modelo de datos</w:t>
      </w:r>
    </w:p>
    <w:p>
      <w:pPr>
        <w:spacing w:after="140"/>
      </w:pPr>
      <w:r>
        <w:t>El sistema aplica *database per service*: cada microservicio de negocio tiene su propia base PostgreSQL y nadie entra a la base de otro. Keycloak tiene la suya aparte para usuarios y roles.</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fill="002138"/>
          </w:tcPr>
          <w:p>
            <w:r>
              <w:rPr>
                <w:b/>
                <w:color w:val="FFFFFF"/>
                <w:sz w:val="19"/>
              </w:rPr>
              <w:t>Servicio</w:t>
            </w:r>
          </w:p>
        </w:tc>
        <w:tc>
          <w:tcPr>
            <w:tcW w:type="dxa" w:w="2436"/>
            <w:shd w:val="clear" w:fill="002138"/>
          </w:tcPr>
          <w:p>
            <w:r>
              <w:rPr>
                <w:b/>
                <w:color w:val="FFFFFF"/>
                <w:sz w:val="19"/>
              </w:rPr>
              <w:t>Base</w:t>
            </w:r>
          </w:p>
        </w:tc>
        <w:tc>
          <w:tcPr>
            <w:tcW w:type="dxa" w:w="2436"/>
            <w:shd w:val="clear" w:fill="002138"/>
          </w:tcPr>
          <w:p>
            <w:r>
              <w:rPr>
                <w:b/>
                <w:color w:val="FFFFFF"/>
                <w:sz w:val="19"/>
              </w:rPr>
              <w:t>Entidad</w:t>
            </w:r>
          </w:p>
        </w:tc>
        <w:tc>
          <w:tcPr>
            <w:tcW w:type="dxa" w:w="2436"/>
            <w:shd w:val="clear" w:fill="002138"/>
          </w:tcPr>
          <w:p>
            <w:r>
              <w:rPr>
                <w:b/>
                <w:color w:val="FFFFFF"/>
                <w:sz w:val="19"/>
              </w:rPr>
              <w:t>Campos principales</w:t>
            </w:r>
          </w:p>
        </w:tc>
      </w:tr>
      <w:tr>
        <w:tc>
          <w:tcPr>
            <w:tcW w:type="dxa" w:w="2436"/>
          </w:tcPr>
          <w:p>
            <w:r>
              <w:rPr>
                <w:sz w:val="19"/>
              </w:rPr>
              <w:t>ms-projects</w:t>
            </w:r>
          </w:p>
        </w:tc>
        <w:tc>
          <w:tcPr>
            <w:tcW w:type="dxa" w:w="2436"/>
          </w:tcPr>
          <w:p>
            <w:r>
              <w:rPr>
                <w:rFonts w:ascii="Courier New" w:hAnsi="Courier New"/>
                <w:sz w:val="19"/>
                <w:shd w:val="clear" w:fill="EEEEEE"/>
              </w:rPr>
              <w:t>projects</w:t>
            </w:r>
          </w:p>
        </w:tc>
        <w:tc>
          <w:tcPr>
            <w:tcW w:type="dxa" w:w="2436"/>
          </w:tcPr>
          <w:p>
            <w:r>
              <w:rPr>
                <w:rFonts w:ascii="Courier New" w:hAnsi="Courier New"/>
                <w:sz w:val="19"/>
                <w:shd w:val="clear" w:fill="EEEEEE"/>
              </w:rPr>
              <w:t>Project</w:t>
            </w:r>
          </w:p>
        </w:tc>
        <w:tc>
          <w:tcPr>
            <w:tcW w:type="dxa" w:w="2436"/>
          </w:tcPr>
          <w:p>
            <w:r>
              <w:rPr>
                <w:sz w:val="19"/>
              </w:rPr>
              <w:t>id, name, description, status, startDate, plannedEndDate, ownerId</w:t>
            </w:r>
          </w:p>
        </w:tc>
      </w:tr>
      <w:tr>
        <w:tc>
          <w:tcPr>
            <w:tcW w:type="dxa" w:w="2436"/>
            <w:shd w:val="clear" w:fill="F4F4F4"/>
          </w:tcPr>
          <w:p>
            <w:r>
              <w:rPr>
                <w:sz w:val="19"/>
              </w:rPr>
              <w:t>ms-projects</w:t>
            </w:r>
          </w:p>
        </w:tc>
        <w:tc>
          <w:tcPr>
            <w:tcW w:type="dxa" w:w="2436"/>
            <w:shd w:val="clear" w:fill="F4F4F4"/>
          </w:tcPr>
          <w:p>
            <w:r>
              <w:rPr>
                <w:rFonts w:ascii="Courier New" w:hAnsi="Courier New"/>
                <w:sz w:val="19"/>
                <w:shd w:val="clear" w:fill="EEEEEE"/>
              </w:rPr>
              <w:t>projects</w:t>
            </w:r>
          </w:p>
        </w:tc>
        <w:tc>
          <w:tcPr>
            <w:tcW w:type="dxa" w:w="2436"/>
            <w:shd w:val="clear" w:fill="F4F4F4"/>
          </w:tcPr>
          <w:p>
            <w:r>
              <w:rPr>
                <w:rFonts w:ascii="Courier New" w:hAnsi="Courier New"/>
                <w:sz w:val="19"/>
                <w:shd w:val="clear" w:fill="EEEEEE"/>
              </w:rPr>
              <w:t>Task</w:t>
            </w:r>
          </w:p>
        </w:tc>
        <w:tc>
          <w:tcPr>
            <w:tcW w:type="dxa" w:w="2436"/>
            <w:shd w:val="clear" w:fill="F4F4F4"/>
          </w:tcPr>
          <w:p>
            <w:r>
              <w:rPr>
                <w:sz w:val="19"/>
              </w:rPr>
              <w:t>id, projectId, title, status, assigneeResourceId, estimatedHours, dueDate</w:t>
            </w:r>
          </w:p>
        </w:tc>
      </w:tr>
      <w:tr>
        <w:tc>
          <w:tcPr>
            <w:tcW w:type="dxa" w:w="2436"/>
          </w:tcPr>
          <w:p>
            <w:r>
              <w:rPr>
                <w:sz w:val="19"/>
              </w:rPr>
              <w:t>ms-resources</w:t>
            </w:r>
          </w:p>
        </w:tc>
        <w:tc>
          <w:tcPr>
            <w:tcW w:type="dxa" w:w="2436"/>
          </w:tcPr>
          <w:p>
            <w:r>
              <w:rPr>
                <w:rFonts w:ascii="Courier New" w:hAnsi="Courier New"/>
                <w:sz w:val="19"/>
                <w:shd w:val="clear" w:fill="EEEEEE"/>
              </w:rPr>
              <w:t>resources</w:t>
            </w:r>
          </w:p>
        </w:tc>
        <w:tc>
          <w:tcPr>
            <w:tcW w:type="dxa" w:w="2436"/>
          </w:tcPr>
          <w:p>
            <w:r>
              <w:rPr>
                <w:rFonts w:ascii="Courier New" w:hAnsi="Courier New"/>
                <w:sz w:val="19"/>
                <w:shd w:val="clear" w:fill="EEEEEE"/>
              </w:rPr>
              <w:t>Resource</w:t>
            </w:r>
          </w:p>
        </w:tc>
        <w:tc>
          <w:tcPr>
            <w:tcW w:type="dxa" w:w="2436"/>
          </w:tcPr>
          <w:p>
            <w:r>
              <w:rPr>
                <w:sz w:val="19"/>
              </w:rPr>
              <w:t>id, name, email (único), role, weeklyHours, skills, active</w:t>
            </w:r>
          </w:p>
        </w:tc>
      </w:tr>
      <w:tr>
        <w:tc>
          <w:tcPr>
            <w:tcW w:type="dxa" w:w="2436"/>
            <w:shd w:val="clear" w:fill="F4F4F4"/>
          </w:tcPr>
          <w:p>
            <w:r>
              <w:rPr>
                <w:sz w:val="19"/>
              </w:rPr>
              <w:t>ms-analytics</w:t>
            </w:r>
          </w:p>
        </w:tc>
        <w:tc>
          <w:tcPr>
            <w:tcW w:type="dxa" w:w="2436"/>
            <w:shd w:val="clear" w:fill="F4F4F4"/>
          </w:tcPr>
          <w:p>
            <w:r>
              <w:rPr>
                <w:rFonts w:ascii="Courier New" w:hAnsi="Courier New"/>
                <w:sz w:val="19"/>
                <w:shd w:val="clear" w:fill="EEEEEE"/>
              </w:rPr>
              <w:t>analytics</w:t>
            </w:r>
          </w:p>
        </w:tc>
        <w:tc>
          <w:tcPr>
            <w:tcW w:type="dxa" w:w="2436"/>
            <w:shd w:val="clear" w:fill="F4F4F4"/>
          </w:tcPr>
          <w:p>
            <w:r>
              <w:rPr>
                <w:rFonts w:ascii="Courier New" w:hAnsi="Courier New"/>
                <w:sz w:val="19"/>
                <w:shd w:val="clear" w:fill="EEEEEE"/>
              </w:rPr>
              <w:t>KpiSnapshot</w:t>
            </w:r>
          </w:p>
        </w:tc>
        <w:tc>
          <w:tcPr>
            <w:tcW w:type="dxa" w:w="2436"/>
            <w:shd w:val="clear" w:fill="F4F4F4"/>
          </w:tcPr>
          <w:p>
            <w:r>
              <w:rPr>
                <w:sz w:val="19"/>
              </w:rPr>
              <w:t>id, capturedAt, activeProjects, delayedProjects, totalActiveResources, weeklyCapacityHours, utilizationPercentage</w:t>
            </w:r>
          </w:p>
        </w:tc>
      </w:tr>
    </w:tbl>
    <w:p>
      <w:pPr>
        <w:spacing w:after="140"/>
      </w:pPr>
      <w:r>
        <w:t xml:space="preserve">Los estados son enumeraciones: un proyecto está en </w:t>
      </w:r>
      <w:r>
        <w:rPr>
          <w:rFonts w:ascii="Courier New" w:hAnsi="Courier New"/>
          <w:sz w:val="19"/>
          <w:shd w:val="clear" w:fill="EEEEEE"/>
        </w:rPr>
        <w:t>PLANNING</w:t>
      </w:r>
      <w:r>
        <w:t xml:space="preserve">, </w:t>
      </w:r>
      <w:r>
        <w:rPr>
          <w:rFonts w:ascii="Courier New" w:hAnsi="Courier New"/>
          <w:sz w:val="19"/>
          <w:shd w:val="clear" w:fill="EEEEEE"/>
        </w:rPr>
        <w:t>IN_PROGRESS</w:t>
      </w:r>
      <w:r>
        <w:t xml:space="preserve">, </w:t>
      </w:r>
      <w:r>
        <w:rPr>
          <w:rFonts w:ascii="Courier New" w:hAnsi="Courier New"/>
          <w:sz w:val="19"/>
          <w:shd w:val="clear" w:fill="EEEEEE"/>
        </w:rPr>
        <w:t>COMPLETED</w:t>
      </w:r>
      <w:r>
        <w:t xml:space="preserve"> o </w:t>
      </w:r>
      <w:r>
        <w:rPr>
          <w:rFonts w:ascii="Courier New" w:hAnsi="Courier New"/>
          <w:sz w:val="19"/>
          <w:shd w:val="clear" w:fill="EEEEEE"/>
        </w:rPr>
        <w:t>CANCELLED</w:t>
      </w:r>
      <w:r>
        <w:t xml:space="preserve">; una tarea en </w:t>
      </w:r>
      <w:r>
        <w:rPr>
          <w:rFonts w:ascii="Courier New" w:hAnsi="Courier New"/>
          <w:sz w:val="19"/>
          <w:shd w:val="clear" w:fill="EEEEEE"/>
        </w:rPr>
        <w:t>TODO</w:t>
      </w:r>
      <w:r>
        <w:t xml:space="preserve">, </w:t>
      </w:r>
      <w:r>
        <w:rPr>
          <w:rFonts w:ascii="Courier New" w:hAnsi="Courier New"/>
          <w:sz w:val="19"/>
          <w:shd w:val="clear" w:fill="EEEEEE"/>
        </w:rPr>
        <w:t>IN_PROGRESS</w:t>
      </w:r>
      <w:r>
        <w:t xml:space="preserve">, </w:t>
      </w:r>
      <w:r>
        <w:rPr>
          <w:rFonts w:ascii="Courier New" w:hAnsi="Courier New"/>
          <w:sz w:val="19"/>
          <w:shd w:val="clear" w:fill="EEEEEE"/>
        </w:rPr>
        <w:t>DONE</w:t>
      </w:r>
      <w:r>
        <w:t xml:space="preserve"> o </w:t>
      </w:r>
      <w:r>
        <w:rPr>
          <w:rFonts w:ascii="Courier New" w:hAnsi="Courier New"/>
          <w:sz w:val="19"/>
          <w:shd w:val="clear" w:fill="EEEEEE"/>
        </w:rPr>
        <w:t>BLOCKED</w:t>
      </w:r>
      <w:r>
        <w:t>.</w:t>
      </w:r>
    </w:p>
    <w:p>
      <w:pPr>
        <w:spacing w:after="140"/>
      </w:pPr>
      <w:r>
        <w:t>Las relaciones merecen una aclaración, porque hay dos tipos:</w:t>
      </w:r>
    </w:p>
    <w:p>
      <w:pPr>
        <w:pStyle w:val="ListBullet"/>
      </w:pPr>
      <w:r>
        <w:rPr>
          <w:b/>
        </w:rPr>
        <w:t>Relación física</w:t>
      </w:r>
      <w:r>
        <w:t xml:space="preserve">, dentro de una misma base: una </w:t>
      </w:r>
      <w:r>
        <w:rPr>
          <w:rFonts w:ascii="Courier New" w:hAnsi="Courier New"/>
          <w:sz w:val="19"/>
          <w:shd w:val="clear" w:fill="EEEEEE"/>
        </w:rPr>
        <w:t>Task</w:t>
      </w:r>
      <w:r>
        <w:t xml:space="preserve"> referencia a su </w:t>
      </w:r>
      <w:r>
        <w:rPr>
          <w:rFonts w:ascii="Courier New" w:hAnsi="Courier New"/>
          <w:sz w:val="19"/>
          <w:shd w:val="clear" w:fill="EEEEEE"/>
        </w:rPr>
        <w:t>Project</w:t>
      </w:r>
      <w:r>
        <w:t xml:space="preserve"> con clave foránea real (</w:t>
      </w:r>
      <w:r>
        <w:rPr>
          <w:rFonts w:ascii="Courier New" w:hAnsi="Courier New"/>
          <w:sz w:val="19"/>
          <w:shd w:val="clear" w:fill="EEEEEE"/>
        </w:rPr>
        <w:t>project_id</w:t>
      </w:r>
      <w:r>
        <w:t xml:space="preserve">). Ambas viven en </w:t>
      </w:r>
      <w:r>
        <w:rPr>
          <w:rFonts w:ascii="Courier New" w:hAnsi="Courier New"/>
          <w:sz w:val="19"/>
          <w:shd w:val="clear" w:fill="EEEEEE"/>
        </w:rPr>
        <w:t>projects</w:t>
      </w:r>
      <w:r>
        <w:t>.</w:t>
      </w:r>
    </w:p>
    <w:p>
      <w:pPr>
        <w:pStyle w:val="ListBullet"/>
      </w:pPr>
      <w:r>
        <w:rPr>
          <w:b/>
        </w:rPr>
        <w:t>Relación lógica</w:t>
      </w:r>
      <w:r>
        <w:t xml:space="preserve">, entre bases distintas: </w:t>
      </w:r>
      <w:r>
        <w:rPr>
          <w:rFonts w:ascii="Courier New" w:hAnsi="Courier New"/>
          <w:sz w:val="19"/>
          <w:shd w:val="clear" w:fill="EEEEEE"/>
        </w:rPr>
        <w:t>Task.assigneeResourceId</w:t>
      </w:r>
      <w:r>
        <w:t xml:space="preserve"> apunta a un </w:t>
      </w:r>
      <w:r>
        <w:rPr>
          <w:rFonts w:ascii="Courier New" w:hAnsi="Courier New"/>
          <w:sz w:val="19"/>
          <w:shd w:val="clear" w:fill="EEEEEE"/>
        </w:rPr>
        <w:t>Resource</w:t>
      </w:r>
      <w:r>
        <w:t xml:space="preserve"> que vive en otra base, así que no hay clave foránea; la referencia es solo el id. Lo mismo con </w:t>
      </w:r>
      <w:r>
        <w:rPr>
          <w:rFonts w:ascii="Courier New" w:hAnsi="Courier New"/>
          <w:sz w:val="19"/>
          <w:shd w:val="clear" w:fill="EEEEEE"/>
        </w:rPr>
        <w:t>Project.ownerId</w:t>
      </w:r>
      <w:r>
        <w:t>, que guarda el identificador del usuario de Keycloak.</w:t>
      </w:r>
    </w:p>
    <w:p>
      <w:pPr>
        <w:spacing w:after="140"/>
      </w:pPr>
      <w:r>
        <w:t>ms-analytics no lee las bases de los otros. Para calcular los KPIs llama por HTTP a ms-projects y ms-resources, y guarda en su propia base los *snapshots* periódicos que alimentan los gráficos de tendencia.</w:t>
      </w:r>
    </w:p>
    <w:p>
      <w:pPr>
        <w:spacing w:after="140"/>
      </w:pPr>
      <w:r>
        <w:t xml:space="preserve">El diagrama entidad-relación está en el </w:t>
      </w:r>
      <w:hyperlink r:id="rId18">
        <w:r>
          <w:rPr>
            <w:color w:val="002138"/>
            <w:u w:val="single"/>
            <w:rFonts w:ascii="Lato" w:hAnsi="Lato"/>
          </w:rPr>
          <w:t>Diagrama · Modelo de Datos</w:t>
        </w:r>
      </w:hyperlink>
      <w:r>
        <w:t>.</w:t>
      </w:r>
    </w:p>
    <w:p>
      <w:pPr>
        <w:pStyle w:val="Heading1"/>
        <w:spacing w:before="280" w:after="60"/>
        <w:pBdr>
          <w:bottom w:val="single" w:sz="10" w:space="3" w:color="FFB800"/>
        </w:pBdr>
      </w:pPr>
      <w:r>
        <w:rPr>
          <w:rFonts w:ascii="Merriweather" w:hAnsi="Merriweather"/>
          <w:b/>
          <w:color w:val="002138"/>
          <w:sz w:val="30"/>
        </w:rPr>
        <w:t>7. Decisiones críticas</w:t>
      </w:r>
    </w:p>
    <w:p>
      <w:pPr>
        <w:spacing w:after="140"/>
      </w:pPr>
      <w:r>
        <w:rPr>
          <w:b/>
        </w:rPr>
        <w:t>Una base por servicio en vez de una base compartida.</w:t>
      </w:r>
      <w:r>
        <w:t xml:space="preserve"> Cada microservicio es dueño de su esquema y puede evolucionar sin pedir permiso al resto. El costo es que no existen claves foráneas entre servicios y la consistencia entre ellos es eventual; se resuelve con referencias por id y comunicación HTTP. Se aceptó ese costo a cambio de la autonomía, que es el punto de tener microservicios.</w:t>
      </w:r>
    </w:p>
    <w:p>
      <w:pPr>
        <w:spacing w:after="140"/>
      </w:pPr>
      <w:r>
        <w:rPr>
          <w:b/>
        </w:rPr>
        <w:t>ms-analytics consume por HTTP y no toca otras bases.</w:t>
      </w:r>
      <w:r>
        <w:t xml:space="preserve"> Podría haber sido más rápido leer directo las tablas de proyectos y recursos, pero eso ataría el esquema de analytics a los esquemas ajenos. Al consumir por la API pública de cada servicio, un cambio interno en ms-projects no rompe analytics mientras el contrato HTTP se mantenga.</w:t>
      </w:r>
    </w:p>
    <w:p>
      <w:pPr>
        <w:spacing w:after="140"/>
      </w:pPr>
      <w:r>
        <w:rPr>
          <w:b/>
        </w:rPr>
        <w:t>Fallback explícito "datos no disponibles".</w:t>
      </w:r>
      <w:r>
        <w:t xml:space="preserve"> El Circuit Breaker no solo evita la cascada de fallos; define qué se muestra cuando algo se cae. La decisión fue no inventar ni reutilizar datos viejos, porque la plataforma informa decisiones sobre carga de personas y avance de proyectos. Un "no disponible" honesto es preferible a un número desactualizado.</w:t>
      </w:r>
    </w:p>
    <w:p>
      <w:pPr>
        <w:spacing w:after="140"/>
      </w:pPr>
      <w:r>
        <w:rPr>
          <w:b/>
        </w:rPr>
        <w:t>Identidad delegada en Keycloak con validación en dos capas.</w:t>
      </w:r>
      <w:r>
        <w:t xml:space="preserve"> No se programó manejo de contraseñas ni de sesiones; eso lo hace Keycloak, que emite JWT firmados. El gateway valida la firma y el BFF la vuelve a validar. Si el gateway llegara a fallar o alguien intentara saltárselo, el BFF sigue protegido.</w:t>
      </w:r>
    </w:p>
    <w:p>
      <w:pPr>
        <w:spacing w:after="140"/>
      </w:pPr>
      <w:r>
        <w:rPr>
          <w:b/>
        </w:rPr>
        <w:t>CORS atado al origen real del despliegue.</w:t>
      </w:r>
      <w:r>
        <w:t xml:space="preserve"> El frontend se sirve desde </w:t>
      </w:r>
      <w:r>
        <w:rPr>
          <w:rFonts w:ascii="Courier New" w:hAnsi="Courier New"/>
          <w:sz w:val="19"/>
          <w:shd w:val="clear" w:fill="EEEEEE"/>
        </w:rPr>
        <w:t>innovatech.localhost</w:t>
      </w:r>
      <w:r>
        <w:t xml:space="preserve"> (Ingress), no desde </w:t>
      </w:r>
      <w:r>
        <w:rPr>
          <w:rFonts w:ascii="Courier New" w:hAnsi="Courier New"/>
          <w:sz w:val="19"/>
          <w:shd w:val="clear" w:fill="EEEEEE"/>
        </w:rPr>
        <w:t>localhost:3000</w:t>
      </w:r>
      <w:r>
        <w:t>. Tanto el gateway como el cliente de Keycloak deben permitir ese origen; si no, el navegador bloquea las llamadas y el registro o el login fallan de forma silenciosa. Fue un punto que costó detectar porque el error llegaba al usuario como un mensaje genérico.</w:t>
      </w:r>
    </w:p>
    <w:p>
      <w:pPr>
        <w:spacing w:after="140"/>
      </w:pPr>
      <w:r>
        <w:rPr>
          <w:b/>
        </w:rPr>
        <w:t>Flyway para versionar el esquema.</w:t>
      </w:r>
      <w:r>
        <w:t xml:space="preserve"> Las tablas no se crean por reflexión de Hibernate, sino con migraciones numeradas, y Hibernate queda en modo </w:t>
      </w:r>
      <w:r>
        <w:rPr>
          <w:rFonts w:ascii="Courier New" w:hAnsi="Courier New"/>
          <w:sz w:val="19"/>
          <w:shd w:val="clear" w:fill="EEEEEE"/>
        </w:rPr>
        <w:t>validate</w:t>
      </w:r>
      <w:r>
        <w:t>. Así el esquema es reproducible y el arranque falla rápido si el código y la base no calzan.</w:t>
      </w:r>
    </w:p>
    <w:p>
      <w:pPr>
        <w:spacing w:after="140"/>
      </w:pPr>
      <w:r>
        <w:rPr>
          <w:b/>
        </w:rPr>
        <w:t>Bases como StatefulSet, no como Deployment.</w:t>
      </w:r>
      <w:r>
        <w:t xml:space="preserve"> Las PostgreSQL son cargas con estado: necesitan identidad de red estable, arranque ordenado y un volumen propio que sobreviva al reinicio del pod. El StatefulSet da exactamente eso con </w:t>
      </w:r>
      <w:r>
        <w:rPr>
          <w:rFonts w:ascii="Courier New" w:hAnsi="Courier New"/>
          <w:sz w:val="19"/>
          <w:shd w:val="clear" w:fill="EEEEEE"/>
        </w:rPr>
        <w:t>volumeClaimTemplates</w:t>
      </w:r>
      <w:r>
        <w:t xml:space="preserve"> (un volumen por réplica), mientras que los servicios sin estado quedan como Deployment. Es el tipo de objeto correcto si en algún momento se escala una base o se lleva a producción.</w:t>
      </w:r>
    </w:p>
    <w:p>
      <w:pPr>
        <w:pStyle w:val="Heading1"/>
        <w:spacing w:before="280" w:after="60"/>
        <w:pBdr>
          <w:bottom w:val="single" w:sz="10" w:space="3" w:color="FFB800"/>
        </w:pBdr>
      </w:pPr>
      <w:r>
        <w:rPr>
          <w:rFonts w:ascii="Merriweather" w:hAnsi="Merriweather"/>
          <w:b/>
          <w:color w:val="002138"/>
          <w:sz w:val="30"/>
        </w:rPr>
        <w:t>8. Validación en Kubernetes</w:t>
      </w:r>
    </w:p>
    <w:p>
      <w:pPr>
        <w:spacing w:after="140"/>
      </w:pPr>
      <w:r>
        <w:t>El stack completo se despliega en un clúster local con Kustomize (</w:t>
      </w:r>
      <w:r>
        <w:rPr>
          <w:rFonts w:ascii="Courier New" w:hAnsi="Courier New"/>
          <w:sz w:val="19"/>
          <w:shd w:val="clear" w:fill="EEEEEE"/>
        </w:rPr>
        <w:t>kubectl apply -k</w:t>
      </w:r>
      <w:r>
        <w:t xml:space="preserve">). Cada servicio de aplicación corre como un Deployment con su Service; las cuatro bases PostgreSQL corren como StatefulSet, cada una con su volumen persistente (un PVC por réplica vía </w:t>
      </w:r>
      <w:r>
        <w:rPr>
          <w:rFonts w:ascii="Courier New" w:hAnsi="Courier New"/>
          <w:sz w:val="19"/>
          <w:shd w:val="clear" w:fill="EEEEEE"/>
        </w:rPr>
        <w:t>volumeClaimTemplates</w:t>
      </w:r>
      <w:r>
        <w:t xml:space="preserve">); la configuración no sensible va en un ConfigMap y las credenciales en un Secret. El frontend se publica con un Ingress en </w:t>
      </w:r>
      <w:r>
        <w:rPr>
          <w:rFonts w:ascii="Courier New" w:hAnsi="Courier New"/>
          <w:sz w:val="19"/>
          <w:shd w:val="clear" w:fill="EEEEEE"/>
        </w:rPr>
        <w:t>innovatech.localhost</w:t>
      </w:r>
      <w:r>
        <w:t xml:space="preserve">, y el gateway y Keycloak quedan accesibles por Service tipo LoadBalancer. La salud de cada pod se verifica con *readiness probes* contra </w:t>
      </w:r>
      <w:r>
        <w:rPr>
          <w:rFonts w:ascii="Courier New" w:hAnsi="Courier New"/>
          <w:sz w:val="19"/>
          <w:shd w:val="clear" w:fill="EEEEEE"/>
        </w:rPr>
        <w:t>/actuator/health</w:t>
      </w:r>
      <w:r>
        <w:t>.</w:t>
      </w:r>
    </w:p>
    <w:sectPr w:rsidR="00FC693F" w:rsidRPr="0006063C" w:rsidSect="00034616">
      <w:footerReference w:type="default" r:id="rId1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Innovatech Solutions  ·  DSY1106  ·  Informe técnico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imagenes/C4_01_System_Context.png" TargetMode="External"/><Relationship Id="rId11" Type="http://schemas.openxmlformats.org/officeDocument/2006/relationships/hyperlink" Target="imagenes/C4_02_Container.png" TargetMode="External"/><Relationship Id="rId12" Type="http://schemas.openxmlformats.org/officeDocument/2006/relationships/hyperlink" Target="imagenes/C4_08_Component_BFF.png" TargetMode="External"/><Relationship Id="rId13" Type="http://schemas.openxmlformats.org/officeDocument/2006/relationships/hyperlink" Target="imagenes/C4_03_Patron_Repository.png" TargetMode="External"/><Relationship Id="rId14" Type="http://schemas.openxmlformats.org/officeDocument/2006/relationships/hyperlink" Target="imagenes/C4_04_Patron_FactoryMethod.png" TargetMode="External"/><Relationship Id="rId15" Type="http://schemas.openxmlformats.org/officeDocument/2006/relationships/hyperlink" Target="imagenes/C4_05_Patron_CircuitBreaker.png" TargetMode="External"/><Relationship Id="rId16" Type="http://schemas.openxmlformats.org/officeDocument/2006/relationships/hyperlink" Target="imagenes/C4_06_Patron_APIGateway.png" TargetMode="External"/><Relationship Id="rId17" Type="http://schemas.openxmlformats.org/officeDocument/2006/relationships/hyperlink" Target="imagenes/C4_07_Patron_BFF.png" TargetMode="External"/><Relationship Id="rId18" Type="http://schemas.openxmlformats.org/officeDocument/2006/relationships/hyperlink" Target="imagenes/C4_09_Modelo_Datos.png"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