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0B981"/>
          <w:sz w:val="22"/>
        </w:rPr>
        <w:t>WARBA BANK CORPORATE BANKING AI CHALLENGE 2026 · TRACK 1</w:t>
        <w:br/>
      </w:r>
      <w:r>
        <w:rPr>
          <w:rFonts w:ascii="Calibri" w:hAnsi="Calibri"/>
          <w:b/>
          <w:color w:val="0B0F19"/>
          <w:sz w:val="56"/>
        </w:rPr>
        <w:t>SANAD (سند)</w:t>
        <w:br/>
      </w:r>
      <w:r>
        <w:rPr>
          <w:rFonts w:ascii="Calibri" w:hAnsi="Calibri"/>
          <w:b/>
          <w:color w:val="3B82F6"/>
          <w:sz w:val="32"/>
        </w:rPr>
        <w:t>Autonomous Forensic Intelligence &amp; Shariah Underwriting Engine</w:t>
        <w:br/>
      </w:r>
      <w:r>
        <w:rPr>
          <w:rFonts w:ascii="Calibri" w:hAnsi="Calibri"/>
          <w:color w:val="64748B"/>
          <w:sz w:val="24"/>
        </w:rPr>
        <w:t>Transforming Corporate Client Documentation from an 11-Day Friction into a 38-Second Perfected Dossier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alibri" w:hAnsi="Calibri"/>
                <w:b/>
                <w:sz w:val="20"/>
              </w:rPr>
              <w:t>🌐 Live Production Web App: https://sanad-engine.netlify.app</w:t>
              <w:br/>
              <w:t>⚡ Live Backend API: https://sanad-production-9d51.up.railway.app/health</w:t>
              <w:br/>
              <w:t>📂 Public GitHub Repository: https://github.com/anajimdeen01-debug/sanad-frontend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F172A"/>
        </w:rPr>
        <w:t>1. The Core Problem in Corporate Underwriting</w:t>
      </w:r>
    </w:p>
    <w:p>
      <w:r>
        <w:rPr>
          <w:rFonts w:ascii="Calibri" w:hAnsi="Calibri"/>
          <w:b/>
          <w:color w:val="3B82F6"/>
        </w:rPr>
        <w:t xml:space="preserve">• Fragmented Dossiers (70+ Pages): </w:t>
      </w:r>
      <w:r>
        <w:rPr>
          <w:rFonts w:ascii="Calibri" w:hAnsi="Calibri"/>
          <w:color w:val="334155"/>
        </w:rPr>
        <w:t>Relationship Managers spend 65% of their working hours manually reconciling balance sheets, MOCI commercial registries, and credit letters across disconnected silos. Results in 8–14 day delays.</w:t>
      </w:r>
    </w:p>
    <w:p>
      <w:r>
        <w:rPr>
          <w:rFonts w:ascii="Calibri" w:hAnsi="Calibri"/>
          <w:b/>
          <w:color w:val="3B82F6"/>
        </w:rPr>
        <w:t xml:space="preserve">• Hidden Liquidation Liens: </w:t>
      </w:r>
      <w:r>
        <w:rPr>
          <w:rFonts w:ascii="Calibri" w:hAnsi="Calibri"/>
          <w:color w:val="334155"/>
        </w:rPr>
        <w:t>Conventional OCR tools analyze documents in isolation. They miss contradictions between credit declarations and Ministry of Justice gazettes, allowing undisclosed performance bonds and affiliate guarantees to slip through.</w:t>
      </w:r>
    </w:p>
    <w:p>
      <w:r>
        <w:rPr>
          <w:rFonts w:ascii="Calibri" w:hAnsi="Calibri"/>
          <w:b/>
          <w:color w:val="3B82F6"/>
        </w:rPr>
        <w:t xml:space="preserve">• Manual Shariah Scrubbing: </w:t>
      </w:r>
      <w:r>
        <w:rPr>
          <w:rFonts w:ascii="Calibri" w:hAnsi="Calibri"/>
          <w:color w:val="334155"/>
        </w:rPr>
        <w:t>Shariah review teams must comb line-by-line through P&amp;L 'Other Income' footnotes to isolate conventional deposit interest and calculate mandatory Taharah purification math.</w:t>
      </w:r>
    </w:p>
    <w:p/>
    <w:p>
      <w:pPr>
        <w:pStyle w:val="Heading1"/>
      </w:pPr>
      <w:r>
        <w:rPr>
          <w:rFonts w:ascii="Calibri" w:hAnsi="Calibri"/>
          <w:color w:val="0F172A"/>
        </w:rPr>
        <w:t>2. The Solution: SANAD System Architecture</w:t>
      </w:r>
    </w:p>
    <w:p>
      <w:r>
        <w:rPr>
          <w:rFonts w:ascii="Calibri" w:hAnsi="Calibri"/>
          <w:b/>
          <w:color w:val="3B82F6"/>
        </w:rPr>
        <w:t xml:space="preserve">• Adversarial Forensic Circularization: </w:t>
      </w:r>
      <w:r>
        <w:rPr>
          <w:rFonts w:ascii="Calibri" w:hAnsi="Calibri"/>
          <w:color w:val="334155"/>
        </w:rPr>
        <w:t>Concurrently ingests audited financials, CiNet bureau reports, MOCI registries, and PACI data. The Discrepancy Hunter runs cross-statement verification algorithms to compare claimed liabilities against official gazettes.</w:t>
      </w:r>
    </w:p>
    <w:p>
      <w:r>
        <w:rPr>
          <w:rFonts w:ascii="Calibri" w:hAnsi="Calibri"/>
          <w:b/>
          <w:color w:val="3B82F6"/>
        </w:rPr>
        <w:t xml:space="preserve">• Sovereign Data Privacy Shield: </w:t>
      </w:r>
      <w:r>
        <w:rPr>
          <w:rFonts w:ascii="Calibri" w:hAnsi="Calibri"/>
          <w:color w:val="334155"/>
        </w:rPr>
        <w:t>Client PII is sanitized on-premise in strict accordance with Central Bank of Kuwait (CBK) data sovereignty regulations prior to analytical processing.</w:t>
      </w:r>
    </w:p>
    <w:p>
      <w:r>
        <w:rPr>
          <w:rFonts w:ascii="Calibri" w:hAnsi="Calibri"/>
          <w:b/>
          <w:color w:val="3B82F6"/>
        </w:rPr>
        <w:t xml:space="preserve">• AAOIFI Shariah &amp; Taharah Engine: </w:t>
      </w:r>
      <w:r>
        <w:rPr>
          <w:rFonts w:ascii="Calibri" w:hAnsi="Calibri"/>
          <w:color w:val="334155"/>
        </w:rPr>
        <w:t>Calculates conventional income ratios (&lt;5% ceiling) and debt-to-assets (&lt;30% ceiling) under AAOIFI Standard No. 21. Automatically computes exact dividend purification down to the fil and drafts Bait Al-Zakat transfer orders.</w:t>
      </w:r>
    </w:p>
    <w:p>
      <w:r>
        <w:rPr>
          <w:rFonts w:ascii="Calibri" w:hAnsi="Calibri"/>
          <w:b/>
          <w:color w:val="3B82F6"/>
        </w:rPr>
        <w:t xml:space="preserve">• Covenant Stress Modeling: </w:t>
      </w:r>
      <w:r>
        <w:rPr>
          <w:rFonts w:ascii="Calibri" w:hAnsi="Calibri"/>
          <w:color w:val="334155"/>
        </w:rPr>
        <w:t>Runs Monte Carlo stress testing under -25% revenue shocks and +150 bps discount rate hikes, checking DSCR resilience against the 1.25x Warba Bank policy floor.</w:t>
      </w:r>
    </w:p>
    <w:p/>
    <w:p>
      <w:pPr>
        <w:pStyle w:val="Heading1"/>
      </w:pPr>
      <w:r>
        <w:rPr>
          <w:rFonts w:ascii="Calibri" w:hAnsi="Calibri"/>
          <w:color w:val="0F172A"/>
        </w:rPr>
        <w:t>3. Track 1 Core Deliverable: Client Documentation Studio</w:t>
      </w:r>
    </w:p>
    <w:p>
      <w:r>
        <w:rPr>
          <w:rFonts w:ascii="Calibri" w:hAnsi="Calibri"/>
          <w:b/>
          <w:color w:val="3B82F6"/>
        </w:rPr>
        <w:t xml:space="preserve">• Credit Application Memo (CAM): </w:t>
      </w:r>
      <w:r>
        <w:rPr>
          <w:rFonts w:ascii="Calibri" w:hAnsi="Calibri"/>
          <w:color w:val="334155"/>
        </w:rPr>
        <w:t>Full institutional memorandum tailored to Warba Bank Corporate Credit Committee with revenue velocity, DSCR, and grounded footnote citations.</w:t>
      </w:r>
    </w:p>
    <w:p>
      <w:r>
        <w:rPr>
          <w:rFonts w:ascii="Calibri" w:hAnsi="Calibri"/>
          <w:b/>
          <w:color w:val="3B82F6"/>
        </w:rPr>
        <w:t xml:space="preserve">• Murabaha Term Sheet: </w:t>
      </w:r>
      <w:r>
        <w:rPr>
          <w:rFonts w:ascii="Calibri" w:hAnsi="Calibri"/>
          <w:color w:val="334155"/>
        </w:rPr>
        <w:t>Binding financing agreement terms (Commodity Murabaha / Tawarruq), margin pricing (CBK Discount Rate + 2.25%), and covenant undertakings.</w:t>
      </w:r>
    </w:p>
    <w:p>
      <w:r>
        <w:rPr>
          <w:rFonts w:ascii="Calibri" w:hAnsi="Calibri"/>
          <w:b/>
          <w:color w:val="3B82F6"/>
        </w:rPr>
        <w:t xml:space="preserve">• Relationship Manager Proactive Brief: </w:t>
      </w:r>
      <w:r>
        <w:rPr>
          <w:rFonts w:ascii="Calibri" w:hAnsi="Calibri"/>
          <w:color w:val="334155"/>
        </w:rPr>
        <w:t>1-page front-office commercial cheat-sheet with talking points, operational velocity metrics, and pre-identified upsell expansion triggers (+KWD 700k).</w:t>
      </w:r>
    </w:p>
    <w:p>
      <w:r>
        <w:rPr>
          <w:rFonts w:ascii="Calibri" w:hAnsi="Calibri"/>
          <w:b/>
          <w:color w:val="3B82F6"/>
        </w:rPr>
        <w:t xml:space="preserve">• Shariah Supervisory Board (SSB) Memo: </w:t>
      </w:r>
      <w:r>
        <w:rPr>
          <w:rFonts w:ascii="Calibri" w:hAnsi="Calibri"/>
          <w:color w:val="334155"/>
        </w:rPr>
        <w:t>Official endorsement memo under AAOIFI Standards 21 and 35 with pre-drafted Bait Al-Zakat donation vouchers prior to drawdown.</w:t>
      </w:r>
    </w:p>
    <w:p/>
    <w:p>
      <w:pPr>
        <w:pStyle w:val="Heading1"/>
      </w:pPr>
      <w:r>
        <w:rPr>
          <w:rFonts w:ascii="Calibri" w:hAnsi="Calibri"/>
          <w:color w:val="0F172A"/>
        </w:rPr>
        <w:t>4. Forensic Case Study: Gulf Pearl Foods Trading W.L.L. (CR #204918-KW)</w:t>
      </w:r>
    </w:p>
    <w:p>
      <w:r>
        <w:rPr>
          <w:rFonts w:ascii="Calibri" w:hAnsi="Calibri"/>
          <w:b/>
          <w:color w:val="3B82F6"/>
        </w:rPr>
        <w:t xml:space="preserve">• The Deception: </w:t>
      </w:r>
      <w:r>
        <w:rPr>
          <w:rFonts w:ascii="Calibri" w:hAnsi="Calibri"/>
          <w:color w:val="334155"/>
        </w:rPr>
        <w:t>In Credit Application Clause 5.2, company asserted 'Zero Contingent Liabilities &amp; Zero Affiliate Guarantees'.</w:t>
      </w:r>
    </w:p>
    <w:p>
      <w:r>
        <w:rPr>
          <w:rFonts w:ascii="Calibri" w:hAnsi="Calibri"/>
          <w:b/>
          <w:color w:val="3B82F6"/>
        </w:rPr>
        <w:t xml:space="preserve">• The Forensic Discovery (Ref #F-922): </w:t>
      </w:r>
      <w:r>
        <w:rPr>
          <w:rFonts w:ascii="Calibri" w:hAnsi="Calibri"/>
          <w:color w:val="334155"/>
        </w:rPr>
        <w:t>SANAD circularized the filing against the Ministry of Justice Legal Gazette (Vol 44, Entry 18) and uncovered an active KWD 350,000 corporate performance bond issued to sister entity Pearl Logistics.</w:t>
      </w:r>
    </w:p>
    <w:p>
      <w:r>
        <w:rPr>
          <w:rFonts w:ascii="Calibri" w:hAnsi="Calibri"/>
          <w:b/>
          <w:color w:val="3B82F6"/>
        </w:rPr>
        <w:t xml:space="preserve">• The Automated Remediation: </w:t>
      </w:r>
      <w:r>
        <w:rPr>
          <w:rFonts w:ascii="Calibri" w:hAnsi="Calibri"/>
          <w:color w:val="334155"/>
        </w:rPr>
        <w:t>SANAD automatically drafted a mandatory Condition Precedent: 'Borrower must execute an irrevocable Priority &amp; Subordination Deed ranking Warba Bank facility senior to affiliate guarantee.' Prevents KWD 350,000 credit impairment.</w:t>
      </w:r>
    </w:p>
    <w:p/>
    <w:p>
      <w:pPr>
        <w:pStyle w:val="Heading1"/>
      </w:pPr>
      <w:r>
        <w:rPr>
          <w:rFonts w:ascii="Calibri" w:hAnsi="Calibri"/>
          <w:color w:val="0F172A"/>
        </w:rPr>
        <w:t>5. Commercial Impact &amp; ROI for Warba Bank</w:t>
      </w:r>
    </w:p>
    <w:p>
      <w:r>
        <w:rPr>
          <w:rFonts w:ascii="Calibri" w:hAnsi="Calibri"/>
          <w:b/>
          <w:color w:val="3B82F6"/>
        </w:rPr>
        <w:t xml:space="preserve">• 94% Turnaround Reduction: </w:t>
      </w:r>
      <w:r>
        <w:rPr>
          <w:rFonts w:ascii="Calibri" w:hAnsi="Calibri"/>
          <w:color w:val="334155"/>
        </w:rPr>
        <w:t>Compresses underwriting turnaround from 11 business days to 38 seconds, allowing Warba Bank to capture high-velocity commercial deals first.</w:t>
      </w:r>
    </w:p>
    <w:p>
      <w:r>
        <w:rPr>
          <w:rFonts w:ascii="Calibri" w:hAnsi="Calibri"/>
          <w:b/>
          <w:color w:val="3B82F6"/>
        </w:rPr>
        <w:t xml:space="preserve">• +KWD 700,000 Balance Sheet Expansion: </w:t>
      </w:r>
      <w:r>
        <w:rPr>
          <w:rFonts w:ascii="Calibri" w:hAnsi="Calibri"/>
          <w:color w:val="334155"/>
        </w:rPr>
        <w:t>Identified KWD 1.2M unencumbered liquid inventory cushion, triggering a +KWD 700k facility upsell that generates +KWD 39,375 net profit margin annually.</w:t>
      </w:r>
    </w:p>
    <w:p>
      <w:r>
        <w:rPr>
          <w:rFonts w:ascii="Calibri" w:hAnsi="Calibri"/>
          <w:b/>
          <w:color w:val="3B82F6"/>
        </w:rPr>
        <w:t xml:space="preserve">• Cryptographic Audit Ledger: </w:t>
      </w:r>
      <w:r>
        <w:rPr>
          <w:rFonts w:ascii="Calibri" w:hAnsi="Calibri"/>
          <w:color w:val="334155"/>
        </w:rPr>
        <w:t>Every footnote citation is bound to a SHA-256 hash and Merkle root block height with sequential 3-tier digital governance sign-offs.</w:t>
      </w:r>
    </w:p>
    <w:p/>
    <w:p>
      <w:pPr>
        <w:pStyle w:val="Heading1"/>
      </w:pPr>
      <w:r>
        <w:rPr>
          <w:rFonts w:ascii="Calibri" w:hAnsi="Calibri"/>
          <w:color w:val="0F172A"/>
        </w:rPr>
        <w:t>6. Self-Guided 60-Second Evaluation Protocol for Judges</w:t>
      </w:r>
    </w:p>
    <w:p>
      <w:r>
        <w:rPr>
          <w:rFonts w:ascii="Calibri" w:hAnsi="Calibri"/>
          <w:b/>
          <w:color w:val="3B82F6"/>
        </w:rPr>
        <w:t xml:space="preserve">• Step 1: </w:t>
      </w:r>
      <w:r>
        <w:rPr>
          <w:rFonts w:ascii="Calibri" w:hAnsi="Calibri"/>
          <w:color w:val="334155"/>
        </w:rPr>
        <w:t>Open Gulf Pearl Foods Trading (CR #204918-KW) from https://sanad-engine.netlify.app.</w:t>
      </w:r>
    </w:p>
    <w:p>
      <w:r>
        <w:rPr>
          <w:rFonts w:ascii="Calibri" w:hAnsi="Calibri"/>
          <w:b/>
          <w:color w:val="3B82F6"/>
        </w:rPr>
        <w:t xml:space="preserve">• Step 2: </w:t>
      </w:r>
      <w:r>
        <w:rPr>
          <w:rFonts w:ascii="Calibri" w:hAnsi="Calibri"/>
          <w:color w:val="334155"/>
        </w:rPr>
        <w:t>Review the 4 AI Forensic Chapters authored dynamically by Google Gemini with AAOIFI standards.</w:t>
      </w:r>
    </w:p>
    <w:p>
      <w:r>
        <w:rPr>
          <w:rFonts w:ascii="Calibri" w:hAnsi="Calibri"/>
          <w:b/>
          <w:color w:val="3B82F6"/>
        </w:rPr>
        <w:t xml:space="preserve">• Step 3: </w:t>
      </w:r>
      <w:r>
        <w:rPr>
          <w:rFonts w:ascii="Calibri" w:hAnsi="Calibri"/>
          <w:color w:val="334155"/>
        </w:rPr>
        <w:t>Click citation [#F-922: Undisclosed Bond] to inspect the document provenance modal.</w:t>
      </w:r>
    </w:p>
    <w:p>
      <w:r>
        <w:rPr>
          <w:rFonts w:ascii="Calibri" w:hAnsi="Calibri"/>
          <w:b/>
          <w:color w:val="3B82F6"/>
        </w:rPr>
        <w:t xml:space="preserve">• Step 4: </w:t>
      </w:r>
      <w:r>
        <w:rPr>
          <w:rFonts w:ascii="Calibri" w:hAnsi="Calibri"/>
          <w:color w:val="334155"/>
        </w:rPr>
        <w:t>Click '⚡ Re-Analyze with Gemini' to watch unscripted AI reasoning live in real-time.</w:t>
      </w:r>
    </w:p>
    <w:p>
      <w:r>
        <w:rPr>
          <w:rFonts w:ascii="Calibri" w:hAnsi="Calibri"/>
          <w:b/>
          <w:color w:val="3B82F6"/>
        </w:rPr>
        <w:t xml:space="preserve">• Step 5: </w:t>
      </w:r>
      <w:r>
        <w:rPr>
          <w:rFonts w:ascii="Calibri" w:hAnsi="Calibri"/>
          <w:color w:val="334155"/>
        </w:rPr>
        <w:t>Drag the Revenue Stress slider to -25% and observe real-time DSCR recalculation.</w:t>
      </w:r>
    </w:p>
    <w:p>
      <w:r>
        <w:rPr>
          <w:rFonts w:ascii="Calibri" w:hAnsi="Calibri"/>
          <w:b/>
          <w:color w:val="3B82F6"/>
        </w:rPr>
        <w:t xml:space="preserve">• Step 6: </w:t>
      </w:r>
      <w:r>
        <w:rPr>
          <w:rFonts w:ascii="Calibri" w:hAnsi="Calibri"/>
          <w:color w:val="334155"/>
        </w:rPr>
        <w:t>Switch to 'Client Documentation Studio' to inspect the CAM, Term Sheet, and RM Brief.</w:t>
      </w:r>
    </w:p>
    <w:p>
      <w:r>
        <w:rPr>
          <w:rFonts w:ascii="Calibri" w:hAnsi="Calibri"/>
          <w:b/>
          <w:color w:val="3B82F6"/>
        </w:rPr>
        <w:t xml:space="preserve">• Step 7: </w:t>
      </w:r>
      <w:r>
        <w:rPr>
          <w:rFonts w:ascii="Calibri" w:hAnsi="Calibri"/>
          <w:color w:val="334155"/>
        </w:rPr>
        <w:t>Click 'Sign as Analyst' to append digital cryptographic governance endorsement.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