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PEARL FOODS TRADING W.L.L.</w:t>
      </w:r>
    </w:p>
    <w:p>
      <w:r>
        <w:t>Audited Financial Statements &amp; Shariah Compliance Dossier — FY 2025</w:t>
      </w:r>
    </w:p>
    <w:p>
      <w:pPr>
        <w:pStyle w:val="Heading1"/>
      </w:pPr>
      <w:r>
        <w:t>1. Corporate &amp; Regulatory Profile</w:t>
      </w:r>
    </w:p>
    <w:p>
      <w:r>
        <w:t>Client Name: Gulf Pearl Foods Trading W.L.L.</w:t>
      </w:r>
    </w:p>
    <w:p>
      <w:r>
        <w:t>Commercial Registration: CR 214457-2019 (MOCI Kuwait)</w:t>
      </w:r>
    </w:p>
    <w:p>
      <w:r>
        <w:t>Sector: Import &amp; Wholesale Distribution of Halal Frozen Foods</w:t>
      </w:r>
    </w:p>
    <w:p>
      <w:r>
        <w:t>Shareholders: Fahad Al-Otaibi (55%), Khalid Al-Otaibi (30%), Nasser Al-Otaibi (15%)</w:t>
      </w:r>
    </w:p>
    <w:p>
      <w:pPr>
        <w:pStyle w:val="Heading1"/>
      </w:pPr>
      <w:r>
        <w:t>2. Financial Highlights FY 2024 vs FY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Financial Metric</w:t>
            </w:r>
          </w:p>
        </w:tc>
        <w:tc>
          <w:tcPr>
            <w:tcW w:type="dxa" w:w="2880"/>
          </w:tcPr>
          <w:p>
            <w:r>
              <w:t>FY 2024 (KWD)</w:t>
            </w:r>
          </w:p>
        </w:tc>
        <w:tc>
          <w:tcPr>
            <w:tcW w:type="dxa" w:w="2880"/>
          </w:tcPr>
          <w:p>
            <w:r>
              <w:t>FY 2025 (KWD)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15,200,000</w:t>
            </w:r>
          </w:p>
        </w:tc>
        <w:tc>
          <w:tcPr>
            <w:tcW w:type="dxa" w:w="2880"/>
          </w:tcPr>
          <w:p>
            <w:r>
              <w:t>18,400,000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3,650,000</w:t>
            </w:r>
          </w:p>
        </w:tc>
        <w:tc>
          <w:tcPr>
            <w:tcW w:type="dxa" w:w="2880"/>
          </w:tcPr>
          <w:p>
            <w:r>
              <w:t>4,452,800</w:t>
            </w:r>
          </w:p>
        </w:tc>
      </w:tr>
      <w:tr>
        <w:tc>
          <w:tcPr>
            <w:tcW w:type="dxa" w:w="2880"/>
          </w:tcPr>
          <w:p>
            <w:r>
              <w:t>Net Income</w:t>
            </w:r>
          </w:p>
        </w:tc>
        <w:tc>
          <w:tcPr>
            <w:tcW w:type="dxa" w:w="2880"/>
          </w:tcPr>
          <w:p>
            <w:r>
              <w:t>1,050,000</w:t>
            </w:r>
          </w:p>
        </w:tc>
        <w:tc>
          <w:tcPr>
            <w:tcW w:type="dxa" w:w="2880"/>
          </w:tcPr>
          <w:p>
            <w:r>
              <w:t>1,310,000</w:t>
            </w:r>
          </w:p>
        </w:tc>
      </w:tr>
      <w:tr>
        <w:tc>
          <w:tcPr>
            <w:tcW w:type="dxa" w:w="2880"/>
          </w:tcPr>
          <w:p>
            <w:r>
              <w:t>Total Assets</w:t>
            </w:r>
          </w:p>
        </w:tc>
        <w:tc>
          <w:tcPr>
            <w:tcW w:type="dxa" w:w="2880"/>
          </w:tcPr>
          <w:p>
            <w:r>
              <w:t>9,500,000</w:t>
            </w:r>
          </w:p>
        </w:tc>
        <w:tc>
          <w:tcPr>
            <w:tcW w:type="dxa" w:w="2880"/>
          </w:tcPr>
          <w:p>
            <w:r>
              <w:t>10,800,000</w:t>
            </w:r>
          </w:p>
        </w:tc>
      </w:tr>
      <w:tr>
        <w:tc>
          <w:tcPr>
            <w:tcW w:type="dxa" w:w="2880"/>
          </w:tcPr>
          <w:p>
            <w:r>
              <w:t>Total Equity</w:t>
            </w:r>
          </w:p>
        </w:tc>
        <w:tc>
          <w:tcPr>
            <w:tcW w:type="dxa" w:w="2880"/>
          </w:tcPr>
          <w:p>
            <w:r>
              <w:t>3,800,000</w:t>
            </w:r>
          </w:p>
        </w:tc>
        <w:tc>
          <w:tcPr>
            <w:tcW w:type="dxa" w:w="2880"/>
          </w:tcPr>
          <w:p>
            <w:r>
              <w:t>4,500,000</w:t>
            </w:r>
          </w:p>
        </w:tc>
      </w:tr>
      <w:tr>
        <w:tc>
          <w:tcPr>
            <w:tcW w:type="dxa" w:w="2880"/>
          </w:tcPr>
          <w:p>
            <w:r>
              <w:t>Total Debt</w:t>
            </w:r>
          </w:p>
        </w:tc>
        <w:tc>
          <w:tcPr>
            <w:tcW w:type="dxa" w:w="2880"/>
          </w:tcPr>
          <w:p>
            <w:r>
              <w:t>1,800,000</w:t>
            </w:r>
          </w:p>
        </w:tc>
        <w:tc>
          <w:tcPr>
            <w:tcW w:type="dxa" w:w="2880"/>
          </w:tcPr>
          <w:p>
            <w:r>
              <w:t>2,100,000</w:t>
            </w:r>
          </w:p>
        </w:tc>
      </w:tr>
    </w:tbl>
    <w:p>
      <w:pPr>
        <w:pStyle w:val="Heading1"/>
      </w:pPr>
      <w:r>
        <w:t>3. Facility Request &amp; Shariah Screening</w:t>
      </w:r>
    </w:p>
    <w:p>
      <w:r>
        <w:t>Facility Requested: KWD 2,500,000 Murabaha Working Capital Facility.</w:t>
      </w:r>
    </w:p>
    <w:p>
      <w:r>
        <w:t>Collateral Offered: Shuwaikh Cold Storage Facility (Appraised Value KWD 3,200,000).</w:t>
      </w:r>
    </w:p>
    <w:p>
      <w:r>
        <w:t>Non-Permissible Income Disclosed: KWD 14,200 interest income earned on conventional deposit balance.</w:t>
      </w:r>
    </w:p>
    <w:p>
      <w:r>
        <w:t>Taharah Mandate: KWD 14,200 must be purified via Bait Al-Zakat prior to credit disbursement.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