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0B981"/>
          <w:sz w:val="22"/>
        </w:rPr>
        <w:t>WARBA BANK CORPORATE BANKING AI CHALLENGE 2026 · TRACK 1 SUBMISSION</w:t>
        <w:br/>
      </w:r>
      <w:r>
        <w:rPr>
          <w:rFonts w:ascii="Calibri" w:hAnsi="Calibri"/>
          <w:b/>
          <w:color w:val="0F172A"/>
          <w:sz w:val="64"/>
        </w:rPr>
        <w:t>SANAD (سند)</w:t>
        <w:br/>
      </w:r>
      <w:r>
        <w:rPr>
          <w:rFonts w:ascii="Calibri" w:hAnsi="Calibri"/>
          <w:b/>
          <w:color w:val="2563EB"/>
          <w:sz w:val="32"/>
        </w:rPr>
        <w:t>Autonomous Forensic Intelligence &amp; Shariah Underwriting Engine</w:t>
        <w:br/>
      </w:r>
      <w:r>
        <w:rPr>
          <w:rFonts w:ascii="Calibri" w:hAnsi="Calibri"/>
          <w:color w:val="475569"/>
          <w:sz w:val="24"/>
        </w:rPr>
        <w:t>Comprehensive Technical White Paper, Architectural Blueprint &amp; Executive Pitch Dossier</w:t>
      </w:r>
    </w:p>
    <w:tbl>
      <w:tblPr>
        <w:tblW w:type="auto" w:w="0"/>
        <w:jc w:val="center"/>
        <w:tblLook w:firstColumn="1" w:firstRow="1" w:lastColumn="0" w:lastRow="0" w:noHBand="0" w:noVBand="1" w:val="04A0"/>
      </w:tblPr>
      <w:tblGrid>
        <w:gridCol w:w="9936"/>
      </w:tblGrid>
      <w:tr>
        <w:tc>
          <w:tcPr>
            <w:tcW w:type="dxa" w:w="9936"/>
            <w:shd w:val="clear" w:color="auto" w:fill="F8FAFC"/>
            <w:tcMar>
              <w:top w:w="140" w:type="dxa"/>
              <w:bottom w:w="140" w:type="dxa"/>
              <w:left w:w="200" w:type="dxa"/>
              <w:right w:w="200" w:type="dxa"/>
            </w:tcMar>
          </w:tcPr>
          <w:p>
            <w:r>
              <w:rPr>
                <w:rFonts w:ascii="Calibri" w:hAnsi="Calibri"/>
                <w:b/>
                <w:color w:val="1E293B"/>
                <w:sz w:val="20"/>
              </w:rPr>
              <w:t>🌐 Live Production Application: https://sanad-engine.netlify.app</w:t>
              <w:br/>
              <w:t>⚡ High-Availability Backend API: https://sanad-production-9d51.up.railway.app/health</w:t>
              <w:br/>
              <w:t>📂 Production GitHub Repository: https://github.com/anajimdeen01-debug/sanad-frontend</w:t>
              <w:br/>
              <w:t>🏛️ Target Entity: Warba Bank K.S.C.P. (Corporate Banking Group &amp; Shariah Supervisory Board)</w:t>
              <w:br/>
              <w:t>📜 Regulatory Frameworks: AAOIFI Shariah Standards No. 21 &amp; 35 | Central Bank of Kuwait (CBK) Covenants</w:t>
            </w:r>
          </w:p>
        </w:tc>
      </w:tr>
    </w:tbl>
    <w:p>
      <w:r>
        <w:br w:type="page"/>
      </w:r>
    </w:p>
    <w:p>
      <w:pPr>
        <w:pStyle w:val="Heading1"/>
      </w:pPr>
      <w:r>
        <w:rPr>
          <w:rFonts w:ascii="Calibri" w:hAnsi="Calibri"/>
          <w:b/>
          <w:color w:val="0F172A"/>
          <w:sz w:val="36"/>
        </w:rPr>
        <w:t>1. Executive Summary &amp; Institutional Vision</w:t>
      </w:r>
    </w:p>
    <w:p/>
    <w:p>
      <w:r>
        <w:rPr>
          <w:rFonts w:ascii="Calibri" w:hAnsi="Calibri"/>
          <w:b/>
          <w:color w:val="1E293B"/>
          <w:sz w:val="22"/>
        </w:rPr>
        <w:t xml:space="preserve">The Operational Reality: </w:t>
      </w:r>
      <w:r>
        <w:rPr>
          <w:rFonts w:ascii="Calibri" w:hAnsi="Calibri"/>
          <w:i w:val="0"/>
          <w:color w:val="1E293B"/>
          <w:sz w:val="22"/>
        </w:rPr>
        <w:t>In modern Islamic corporate banking, underwriting a commercial facility is the single most critical, yet slowest, operational bottleneck. Today, evaluating a mid-market or corporate borrower requires reviewing an average of 70+ pages of unstructured filings across audited financial balance sheets, Ministry of Commerce &amp; Industry (MOCI) registration certificates, Central Bank of Kuwait (CBK) / CiNet credit bureau reports, asset appraisals, and corporate charters. At leading regional banks, this manual process consumes between 8 and 14 business days.</w:t>
      </w:r>
    </w:p>
    <w:p>
      <w:r>
        <w:rPr>
          <w:rFonts w:ascii="Calibri" w:hAnsi="Calibri"/>
          <w:b/>
          <w:color w:val="1E293B"/>
          <w:sz w:val="22"/>
        </w:rPr>
        <w:t xml:space="preserve">The SANAD Solution: </w:t>
      </w:r>
      <w:r>
        <w:rPr>
          <w:rFonts w:ascii="Calibri" w:hAnsi="Calibri"/>
          <w:i w:val="0"/>
          <w:color w:val="1E293B"/>
          <w:sz w:val="22"/>
        </w:rPr>
        <w:t>SANAD (سند) is an autonomous, institutional-grade forensic intelligence and Shariah underwriting engine built specifically for Warba Bank’s Corporate Banking Group and Shariah Supervisory Board. Rather than functioning as a superficial text summarizer or passive document viewer, SANAD acts as an adversarial Senior Credit Underwriting Officer. It cross-examines documents against each other, catches off-balance-sheet encumbrances, automates AAOIFI Standard No. 21 and Standard No. 35 calculations down to the fil, generates full bank-grade credit documentation, and equips Relationship Managers with proactive revenue intelligence.</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EFF6FF"/>
            <w:tcMar>
              <w:top w:w="100" w:type="dxa"/>
              <w:bottom w:w="60" w:type="dxa"/>
              <w:left w:w="100" w:type="dxa"/>
              <w:right w:w="100" w:type="dxa"/>
            </w:tcMar>
          </w:tcPr>
          <w:p>
            <w:r>
              <w:rPr>
                <w:rFonts w:ascii="Calibri" w:hAnsi="Calibri"/>
                <w:b/>
                <w:color w:val="2563EB"/>
                <w:sz w:val="28"/>
              </w:rPr>
              <w:t>38 Seconds</w:t>
            </w:r>
          </w:p>
        </w:tc>
        <w:tc>
          <w:tcPr>
            <w:tcW w:type="dxa" w:w="2484"/>
            <w:shd w:val="clear" w:color="auto" w:fill="EFF6FF"/>
            <w:tcMar>
              <w:top w:w="100" w:type="dxa"/>
              <w:bottom w:w="60" w:type="dxa"/>
              <w:left w:w="100" w:type="dxa"/>
              <w:right w:w="100" w:type="dxa"/>
            </w:tcMar>
          </w:tcPr>
          <w:p>
            <w:r>
              <w:rPr>
                <w:rFonts w:ascii="Calibri" w:hAnsi="Calibri"/>
                <w:b/>
                <w:color w:val="2563EB"/>
                <w:sz w:val="28"/>
              </w:rPr>
              <w:t>100% Deterministic</w:t>
            </w:r>
          </w:p>
        </w:tc>
        <w:tc>
          <w:tcPr>
            <w:tcW w:type="dxa" w:w="2484"/>
            <w:shd w:val="clear" w:color="auto" w:fill="EFF6FF"/>
            <w:tcMar>
              <w:top w:w="100" w:type="dxa"/>
              <w:bottom w:w="60" w:type="dxa"/>
              <w:left w:w="100" w:type="dxa"/>
              <w:right w:w="100" w:type="dxa"/>
            </w:tcMar>
          </w:tcPr>
          <w:p>
            <w:r>
              <w:rPr>
                <w:rFonts w:ascii="Calibri" w:hAnsi="Calibri"/>
                <w:b/>
                <w:color w:val="2563EB"/>
                <w:sz w:val="28"/>
              </w:rPr>
              <w:t>+KWD 700K</w:t>
            </w:r>
          </w:p>
        </w:tc>
        <w:tc>
          <w:tcPr>
            <w:tcW w:type="dxa" w:w="2484"/>
            <w:shd w:val="clear" w:color="auto" w:fill="EFF6FF"/>
            <w:tcMar>
              <w:top w:w="100" w:type="dxa"/>
              <w:bottom w:w="60" w:type="dxa"/>
              <w:left w:w="100" w:type="dxa"/>
              <w:right w:w="100" w:type="dxa"/>
            </w:tcMar>
          </w:tcPr>
          <w:p>
            <w:r>
              <w:rPr>
                <w:rFonts w:ascii="Calibri" w:hAnsi="Calibri"/>
                <w:b/>
                <w:color w:val="2563EB"/>
                <w:sz w:val="28"/>
              </w:rPr>
              <w:t>Zero Data Leakage</w:t>
            </w:r>
          </w:p>
        </w:tc>
      </w:tr>
      <w:tr>
        <w:tc>
          <w:tcPr>
            <w:tcW w:type="dxa" w:w="2484"/>
            <w:shd w:val="clear" w:color="auto" w:fill="F8FAFC"/>
            <w:tcMar>
              <w:top w:w="60" w:type="dxa"/>
              <w:bottom w:w="100" w:type="dxa"/>
              <w:left w:w="100" w:type="dxa"/>
              <w:right w:w="100" w:type="dxa"/>
            </w:tcMar>
          </w:tcPr>
          <w:p>
            <w:r>
              <w:rPr>
                <w:rFonts w:ascii="Calibri" w:hAnsi="Calibri"/>
                <w:color w:val="475569"/>
                <w:sz w:val="18"/>
              </w:rPr>
              <w:t>Dossier Turnaround (vs. 11 Days)</w:t>
            </w:r>
          </w:p>
        </w:tc>
        <w:tc>
          <w:tcPr>
            <w:tcW w:type="dxa" w:w="2484"/>
            <w:shd w:val="clear" w:color="auto" w:fill="F8FAFC"/>
            <w:tcMar>
              <w:top w:w="60" w:type="dxa"/>
              <w:bottom w:w="100" w:type="dxa"/>
              <w:left w:w="100" w:type="dxa"/>
              <w:right w:w="100" w:type="dxa"/>
            </w:tcMar>
          </w:tcPr>
          <w:p>
            <w:r>
              <w:rPr>
                <w:rFonts w:ascii="Calibri" w:hAnsi="Calibri"/>
                <w:color w:val="475569"/>
                <w:sz w:val="18"/>
              </w:rPr>
              <w:t>AAOIFI Taharah Calculation</w:t>
            </w:r>
          </w:p>
        </w:tc>
        <w:tc>
          <w:tcPr>
            <w:tcW w:type="dxa" w:w="2484"/>
            <w:shd w:val="clear" w:color="auto" w:fill="F8FAFC"/>
            <w:tcMar>
              <w:top w:w="60" w:type="dxa"/>
              <w:bottom w:w="100" w:type="dxa"/>
              <w:left w:w="100" w:type="dxa"/>
              <w:right w:w="100" w:type="dxa"/>
            </w:tcMar>
          </w:tcPr>
          <w:p>
            <w:r>
              <w:rPr>
                <w:rFonts w:ascii="Calibri" w:hAnsi="Calibri"/>
                <w:color w:val="475569"/>
                <w:sz w:val="18"/>
              </w:rPr>
              <w:t>Average Facility Upsell Identified</w:t>
            </w:r>
          </w:p>
        </w:tc>
        <w:tc>
          <w:tcPr>
            <w:tcW w:type="dxa" w:w="2484"/>
            <w:shd w:val="clear" w:color="auto" w:fill="F8FAFC"/>
            <w:tcMar>
              <w:top w:w="60" w:type="dxa"/>
              <w:bottom w:w="100" w:type="dxa"/>
              <w:left w:w="100" w:type="dxa"/>
              <w:right w:w="100" w:type="dxa"/>
            </w:tcMar>
          </w:tcPr>
          <w:p>
            <w:r>
              <w:rPr>
                <w:rFonts w:ascii="Calibri" w:hAnsi="Calibri"/>
                <w:color w:val="475569"/>
                <w:sz w:val="18"/>
              </w:rPr>
              <w:t>CBK Sovereign Privacy Shield</w:t>
            </w:r>
          </w:p>
        </w:tc>
      </w:tr>
    </w:tbl>
    <w:p/>
    <w:p>
      <w:pPr>
        <w:pStyle w:val="Heading1"/>
      </w:pPr>
      <w:r>
        <w:rPr>
          <w:rFonts w:ascii="Calibri" w:hAnsi="Calibri"/>
          <w:b/>
          <w:color w:val="0F172A"/>
          <w:sz w:val="36"/>
        </w:rPr>
        <w:t>2. The Core Problem: Anatomy of the 11-Day Friction</w:t>
      </w:r>
    </w:p>
    <w:p/>
    <w:p>
      <w:r>
        <w:rPr>
          <w:rFonts w:ascii="Calibri" w:hAnsi="Calibri"/>
          <w:i w:val="0"/>
          <w:color w:val="1E293B"/>
          <w:sz w:val="22"/>
        </w:rPr>
        <w:t>Corporate banking credit operations suffer from four structural vulnerabilities that cannot be solved by generic OCR or simple conversational chatbots:</w:t>
      </w:r>
    </w:p>
    <w:p>
      <w:pPr>
        <w:pStyle w:val="ListBullet"/>
      </w:pPr>
      <w:r>
        <w:rPr>
          <w:rFonts w:ascii="Calibri" w:hAnsi="Calibri"/>
          <w:b/>
          <w:color w:val="0F172A"/>
          <w:sz w:val="22"/>
        </w:rPr>
        <w:t xml:space="preserve">1. Fragmented Silos &amp; Document Overload: </w:t>
      </w:r>
      <w:r>
        <w:rPr>
          <w:rFonts w:ascii="Calibri" w:hAnsi="Calibri"/>
          <w:color w:val="1E293B"/>
          <w:sz w:val="22"/>
        </w:rPr>
        <w:t>Relationship Managers spend over 65% of their working hours chasing and reconciling fragmented paper trails across multiple stakeholders. Audited financial statements, tax letters, board resolutions, and facility request letters arrive in disparate PDF formats with inconsistent labeling, leading to fatigue and oversight.</w:t>
      </w:r>
    </w:p>
    <w:p>
      <w:pPr>
        <w:pStyle w:val="ListBullet"/>
      </w:pPr>
      <w:r>
        <w:rPr>
          <w:rFonts w:ascii="Calibri" w:hAnsi="Calibri"/>
          <w:b/>
          <w:color w:val="0F172A"/>
          <w:sz w:val="22"/>
        </w:rPr>
        <w:t xml:space="preserve">2. The Blind Spot of Isolated OCR: </w:t>
      </w:r>
      <w:r>
        <w:rPr>
          <w:rFonts w:ascii="Calibri" w:hAnsi="Calibri"/>
          <w:color w:val="1E293B"/>
          <w:sz w:val="22"/>
        </w:rPr>
        <w:t>Traditional optical character recognition (OCR) and early LLM tools evaluate documents in isolation. If a borrower declares 'Zero Contingent Liabilities' on page 4 of their loan application form, standard OCR records that statement as valid. It fails to check page 42, Note 18 of the audited financials, or search external legal gazettes to verify whether that claim is true. This isolated blindness exposes the bank to catastrophic subordination and liquidation risks.</w:t>
      </w:r>
    </w:p>
    <w:p>
      <w:pPr>
        <w:pStyle w:val="ListBullet"/>
      </w:pPr>
      <w:r>
        <w:rPr>
          <w:rFonts w:ascii="Calibri" w:hAnsi="Calibri"/>
          <w:b/>
          <w:color w:val="0F172A"/>
          <w:sz w:val="22"/>
        </w:rPr>
        <w:t xml:space="preserve">3. Manual Shariah Scrubbing Bottlenecks: </w:t>
      </w:r>
      <w:r>
        <w:rPr>
          <w:rFonts w:ascii="Calibri" w:hAnsi="Calibri"/>
          <w:color w:val="1E293B"/>
          <w:sz w:val="22"/>
        </w:rPr>
        <w:t>In an Islamic financial institution like Warba Bank, non-halal income (such as conventional interest earned on operational deposits or conventional rental sub-leases) cannot simply be ignored. Under AAOIFI Standard No. 21, it must be quantified and purged through Taharah (purification) to designated charities like Bait Al-Zakat. Currently, Shariah auditors manually comb line-by-line through income statements, creating a 3- to 5-day review delay prior to facility disbursement.</w:t>
      </w:r>
    </w:p>
    <w:p>
      <w:pPr>
        <w:pStyle w:val="ListBullet"/>
      </w:pPr>
      <w:r>
        <w:rPr>
          <w:rFonts w:ascii="Calibri" w:hAnsi="Calibri"/>
          <w:b/>
          <w:color w:val="0F172A"/>
          <w:sz w:val="22"/>
        </w:rPr>
        <w:t xml:space="preserve">4. Commercial Opportunity Loss: </w:t>
      </w:r>
      <w:r>
        <w:rPr>
          <w:rFonts w:ascii="Calibri" w:hAnsi="Calibri"/>
          <w:color w:val="1E293B"/>
          <w:sz w:val="22"/>
        </w:rPr>
        <w:t>While dossiers sit in underwriting queues, prime creditworthy borrowers with rapid working capital cycles frequently accept competing offers from rival institutions. The bank loses high-velocity assets due to internal processing lag.</w:t>
      </w:r>
    </w:p>
    <w:p>
      <w:pPr>
        <w:pStyle w:val="Heading1"/>
      </w:pPr>
      <w:r>
        <w:rPr>
          <w:rFonts w:ascii="Calibri" w:hAnsi="Calibri"/>
          <w:b/>
          <w:color w:val="0F172A"/>
          <w:sz w:val="36"/>
        </w:rPr>
        <w:t>3. End-to-End System Architecture: How Each Component Operates</w:t>
      </w:r>
    </w:p>
    <w:p/>
    <w:p>
      <w:r>
        <w:rPr>
          <w:rFonts w:ascii="Calibri" w:hAnsi="Calibri"/>
          <w:i w:val="0"/>
          <w:color w:val="1E293B"/>
          <w:sz w:val="22"/>
        </w:rPr>
        <w:t>SANAD is built on an enterprise, high-availability, decoupled financial architecture comprising five specialized processing layers:</w:t>
      </w:r>
    </w:p>
    <w:p>
      <w:pPr>
        <w:pStyle w:val="Heading2"/>
      </w:pPr>
      <w:r>
        <w:rPr>
          <w:rFonts w:ascii="Calibri" w:hAnsi="Calibri"/>
          <w:b/>
          <w:color w:val="2563EB"/>
          <w:sz w:val="26"/>
        </w:rPr>
        <w:t>Layer 1: Sovereign Ingestion &amp; CBK Data Redaction Shield</w:t>
      </w:r>
    </w:p>
    <w:p>
      <w:r>
        <w:rPr>
          <w:rFonts w:ascii="Calibri" w:hAnsi="Calibri"/>
          <w:i w:val="0"/>
          <w:color w:val="1E293B"/>
          <w:sz w:val="22"/>
        </w:rPr>
        <w:t>• How it operates: Corporate borrowers or Relationship Managers drop multi-file bundles (audited balance sheets, MOCI extracts, PACI location data, CiNet credit bureau reports) into the batch dropzone or trigger live registry ingestion by Commercial Registration (CR) number.</w:t>
      </w:r>
    </w:p>
    <w:p>
      <w:r>
        <w:rPr>
          <w:rFonts w:ascii="Calibri" w:hAnsi="Calibri"/>
          <w:i w:val="0"/>
          <w:color w:val="1E293B"/>
          <w:sz w:val="22"/>
        </w:rPr>
        <w:t>• How it does what it does: Prior to analytical ingestion, the Sovereign Redaction Filter executes deterministic regex and named-entity recognition algorithms to sanitize client Personally Identifiable Information (PII)—including Kuwait Civil IDs, personal mobile numbers, and residential addresses—ensuring full compliance with Central Bank of Kuwait (CBK) data residency and sovereignty mandates.</w:t>
      </w:r>
    </w:p>
    <w:p>
      <w:pPr>
        <w:pStyle w:val="Heading2"/>
      </w:pPr>
      <w:r>
        <w:rPr>
          <w:rFonts w:ascii="Calibri" w:hAnsi="Calibri"/>
          <w:b/>
          <w:color w:val="2563EB"/>
          <w:sz w:val="26"/>
        </w:rPr>
        <w:t>Layer 2: Adversarial Multi-Source Circularization Engine</w:t>
      </w:r>
    </w:p>
    <w:p>
      <w:r>
        <w:rPr>
          <w:rFonts w:ascii="Calibri" w:hAnsi="Calibri"/>
          <w:i w:val="0"/>
          <w:color w:val="1E293B"/>
          <w:sz w:val="22"/>
        </w:rPr>
        <w:t>• How it operates: Unlike passive parsers, SANAD treats every document as an adversarial witness that must be corroborated by official external registers.</w:t>
      </w:r>
    </w:p>
    <w:p>
      <w:r>
        <w:rPr>
          <w:rFonts w:ascii="Calibri" w:hAnsi="Calibri"/>
          <w:i w:val="0"/>
          <w:color w:val="1E293B"/>
          <w:sz w:val="22"/>
        </w:rPr>
        <w:t>• How it does what it does: The Discrepancy Hunter indexes extracted clauses and executes cross-document vector comparisons against Ministry of Commerce (MOCI) commercial registrations, Ministry of Justice legal gazettes, and Central Bank (CiNet) bureau schedules. If a borrower asserts zero liabilities in an application affidavit while a court gazette contains an active corporate guarantee, the system flags a Forensic Discrepancy, calculates the exact exposure in KWD, and cites the conflicting document names, page numbers, and clauses.</w:t>
      </w:r>
    </w:p>
    <w:p>
      <w:pPr>
        <w:pStyle w:val="Heading2"/>
      </w:pPr>
      <w:r>
        <w:rPr>
          <w:rFonts w:ascii="Calibri" w:hAnsi="Calibri"/>
          <w:b/>
          <w:color w:val="2563EB"/>
          <w:sz w:val="26"/>
        </w:rPr>
        <w:t>Layer 3: AAOIFI Shariah &amp; Taharah Calculation Core</w:t>
      </w:r>
    </w:p>
    <w:p>
      <w:r>
        <w:rPr>
          <w:rFonts w:ascii="Calibri" w:hAnsi="Calibri"/>
          <w:i w:val="0"/>
          <w:color w:val="1E293B"/>
          <w:sz w:val="22"/>
        </w:rPr>
        <w:t>• How it operates: Implements deterministic financial accounting models aligned with AAOIFI Financial Standard No. 21 (Financial Papers &amp; Investment) and Standard No. 35 (Zakat).</w:t>
      </w:r>
    </w:p>
    <w:p>
      <w:r>
        <w:rPr>
          <w:rFonts w:ascii="Calibri" w:hAnsi="Calibri"/>
          <w:i w:val="0"/>
          <w:color w:val="1E293B"/>
          <w:sz w:val="22"/>
        </w:rPr>
        <w:t>• How it does what it does: The engine computes two statutory screening tests: (1) Prohibited Revenue Ratio (Conventional Interest ÷ Total Turnover), verifying that it remains under the 5.0% threshold, and (2) Conventional Debt-to-Assets Ratio, verifying that it remains under 30.0%. It then isolates 100% of non-compliant earnings down to the fil and automatically drafts an electronic transfer voucher designating Bait Al-Zakat Kuwait as the beneficiary.</w:t>
      </w:r>
    </w:p>
    <w:p>
      <w:pPr>
        <w:pStyle w:val="Heading2"/>
      </w:pPr>
      <w:r>
        <w:rPr>
          <w:rFonts w:ascii="Calibri" w:hAnsi="Calibri"/>
          <w:b/>
          <w:color w:val="2563EB"/>
          <w:sz w:val="26"/>
        </w:rPr>
        <w:t>Layer 4: Covenant Resilience &amp; Monte Carlo Stress Simulator</w:t>
      </w:r>
    </w:p>
    <w:p>
      <w:r>
        <w:rPr>
          <w:rFonts w:ascii="Calibri" w:hAnsi="Calibri"/>
          <w:i w:val="0"/>
          <w:color w:val="1E293B"/>
          <w:sz w:val="22"/>
        </w:rPr>
        <w:t>• How it operates: Analyzes corporate cash flow velocity and tests debt capacity under severe macroeconomic stress.</w:t>
      </w:r>
    </w:p>
    <w:p>
      <w:r>
        <w:rPr>
          <w:rFonts w:ascii="Calibri" w:hAnsi="Calibri"/>
          <w:i w:val="0"/>
          <w:color w:val="1E293B"/>
          <w:sz w:val="22"/>
        </w:rPr>
        <w:t>• How it does what it does: Calculates Operating EBITDA, Debt Service Coverage Ratio (DSCR = Operating EBITDA ÷ Annual Debt Service), and Loan-to-Value (LTV = Facility Requested ÷ Appraised Collateral). It simulates dynamic macroeconomic shocks (-25% top-line revenue downturns, +150 bps discount rate hikes) against Warba Bank's 1.25x covenant floor, displaying live interactive sensitivity curves.</w:t>
      </w:r>
    </w:p>
    <w:p>
      <w:pPr>
        <w:pStyle w:val="Heading2"/>
      </w:pPr>
      <w:r>
        <w:rPr>
          <w:rFonts w:ascii="Calibri" w:hAnsi="Calibri"/>
          <w:b/>
          <w:color w:val="2563EB"/>
          <w:sz w:val="26"/>
        </w:rPr>
        <w:t>Layer 5: Client Documentation Studio &amp; Cryptographic Ledger</w:t>
      </w:r>
    </w:p>
    <w:p>
      <w:r>
        <w:rPr>
          <w:rFonts w:ascii="Calibri" w:hAnsi="Calibri"/>
          <w:i w:val="0"/>
          <w:color w:val="1E293B"/>
          <w:sz w:val="22"/>
        </w:rPr>
        <w:t>• How it operates: Synthesizes four bank-grade executive documents formatted to official Warba Bank corporate standards.</w:t>
      </w:r>
    </w:p>
    <w:p>
      <w:r>
        <w:rPr>
          <w:rFonts w:ascii="Calibri" w:hAnsi="Calibri"/>
          <w:i w:val="0"/>
          <w:color w:val="1E293B"/>
          <w:sz w:val="22"/>
        </w:rPr>
        <w:t>• How it does what it does: Produces the Executive Credit Application Memorandum (CAM), Indicative Murabaha Term Sheet, Relationship Manager Proactive Brief, and Shariah Supervisory Board Memo. Every footnote citation is bound to a SHA-256 cryptographic hash and Merkle root block height, requiring sequential digital sign-offs from the Credit Analyst, Shariah Officer, and Credit Committee.</w:t>
      </w:r>
    </w:p>
    <w:p>
      <w:pPr>
        <w:pStyle w:val="Heading1"/>
      </w:pPr>
      <w:r>
        <w:rPr>
          <w:rFonts w:ascii="Calibri" w:hAnsi="Calibri"/>
          <w:b/>
          <w:color w:val="0F172A"/>
          <w:sz w:val="36"/>
        </w:rPr>
        <w:t>4. Track 1 Core Deliverable: The Client Documentation Studio</w:t>
      </w:r>
    </w:p>
    <w:p/>
    <w:p>
      <w:r>
        <w:rPr>
          <w:rFonts w:ascii="Calibri" w:hAnsi="Calibri"/>
          <w:i w:val="0"/>
          <w:color w:val="1E293B"/>
          <w:sz w:val="22"/>
        </w:rPr>
        <w:t>Track 1 of the Warba Bank Challenge specifically mandates automating client documentation. SANAD fulfills this requirement through its Client Documentation Studio, which generates four distinct, ready-to-execute banking artifacts:</w:t>
      </w:r>
    </w:p>
    <w:p>
      <w:pPr>
        <w:pStyle w:val="ListBullet"/>
      </w:pPr>
      <w:r>
        <w:rPr>
          <w:rFonts w:ascii="Calibri" w:hAnsi="Calibri"/>
          <w:b/>
          <w:color w:val="0F172A"/>
          <w:sz w:val="22"/>
        </w:rPr>
        <w:t xml:space="preserve">1. Executive Credit Application Memorandum (CAM): </w:t>
      </w:r>
      <w:r>
        <w:rPr>
          <w:rFonts w:ascii="Calibri" w:hAnsi="Calibri"/>
          <w:color w:val="1E293B"/>
          <w:sz w:val="22"/>
        </w:rPr>
        <w:t>Structured in Warba Bank's official Corporate Credit Committee format. Contains executive borrower appraisal, transaction profile, EBITDA velocity, operating margins, debt service schedule, and verbatim footnote citations with page-level provenance. Eliminates manual drafting for credit analysts.</w:t>
      </w:r>
    </w:p>
    <w:p>
      <w:pPr>
        <w:pStyle w:val="ListBullet"/>
      </w:pPr>
      <w:r>
        <w:rPr>
          <w:rFonts w:ascii="Calibri" w:hAnsi="Calibri"/>
          <w:b/>
          <w:color w:val="0F172A"/>
          <w:sz w:val="22"/>
        </w:rPr>
        <w:t xml:space="preserve">2. Indicative Murabaha / Tawarruq Term Sheet: </w:t>
      </w:r>
      <w:r>
        <w:rPr>
          <w:rFonts w:ascii="Calibri" w:hAnsi="Calibri"/>
          <w:color w:val="1E293B"/>
          <w:sz w:val="22"/>
        </w:rPr>
        <w:t>A commercial financing contract outlining facility limits, tenor (12 to 36 months revolving), profit rate margins (CBK Discount Rate + 2.25% p.a., with a 5.50% profit floor), collateral perfection requirements, and mandatory Conditions Precedent (CPs).</w:t>
      </w:r>
    </w:p>
    <w:p>
      <w:pPr>
        <w:pStyle w:val="ListBullet"/>
      </w:pPr>
      <w:r>
        <w:rPr>
          <w:rFonts w:ascii="Calibri" w:hAnsi="Calibri"/>
          <w:b/>
          <w:color w:val="0F172A"/>
          <w:sz w:val="22"/>
        </w:rPr>
        <w:t xml:space="preserve">3. Relationship Manager Proactive Brief: </w:t>
      </w:r>
      <w:r>
        <w:rPr>
          <w:rFonts w:ascii="Calibri" w:hAnsi="Calibri"/>
          <w:color w:val="1E293B"/>
          <w:sz w:val="22"/>
        </w:rPr>
        <w:t>A 1-page commercial cheat-sheet engineered for front-office bankers. Summarizes negotiation talking points, historical cash conversion velocity (Days Sales Outstanding), supply chain health, and immediate expansion upsell triggers.</w:t>
      </w:r>
    </w:p>
    <w:p>
      <w:pPr>
        <w:pStyle w:val="ListBullet"/>
      </w:pPr>
      <w:r>
        <w:rPr>
          <w:rFonts w:ascii="Calibri" w:hAnsi="Calibri"/>
          <w:b/>
          <w:color w:val="0F172A"/>
          <w:sz w:val="22"/>
        </w:rPr>
        <w:t xml:space="preserve">4. Shariah Supervisory Board (SSB) Taharah Memorandum: </w:t>
      </w:r>
      <w:r>
        <w:rPr>
          <w:rFonts w:ascii="Calibri" w:hAnsi="Calibri"/>
          <w:color w:val="1E293B"/>
          <w:sz w:val="22"/>
        </w:rPr>
        <w:t>The official certification required by the bank's Shariah governance committee. Details the AAOIFI Standard No. 21 income screening breakdown, the exact step-down calculation of the Zakatable base, and pre-drafts the irrevocable remittance order to Bait Al-Zakat Kuwait.</w:t>
      </w:r>
    </w:p>
    <w:p>
      <w:pPr>
        <w:pStyle w:val="Heading1"/>
      </w:pPr>
      <w:r>
        <w:rPr>
          <w:rFonts w:ascii="Calibri" w:hAnsi="Calibri"/>
          <w:b/>
          <w:color w:val="0F172A"/>
          <w:sz w:val="36"/>
        </w:rPr>
        <w:t>5. Real-World Case Study: Gulf Pearl Foods Trading W.L.L.</w:t>
      </w:r>
    </w:p>
    <w:p/>
    <w:p>
      <w:r>
        <w:rPr>
          <w:rFonts w:ascii="Calibri" w:hAnsi="Calibri"/>
          <w:i w:val="0"/>
          <w:color w:val="1E293B"/>
          <w:sz w:val="22"/>
        </w:rPr>
        <w:t>To demonstrate SANAD's adversarial audit capabilities, consider the live evaluation of Gulf Pearl Foods Trading W.L.L. (CR #204918-KW), an active food and beverage distributor in Kuwait:</w:t>
      </w:r>
    </w:p>
    <w:p>
      <w:r>
        <w:rPr>
          <w:rFonts w:ascii="Calibri" w:hAnsi="Calibri"/>
          <w:b/>
          <w:color w:val="1E293B"/>
          <w:sz w:val="22"/>
        </w:rPr>
        <w:t xml:space="preserve">The Declared Profile: </w:t>
      </w:r>
      <w:r>
        <w:rPr>
          <w:rFonts w:ascii="Calibri" w:hAnsi="Calibri"/>
          <w:i w:val="0"/>
          <w:color w:val="1E293B"/>
          <w:sz w:val="22"/>
        </w:rPr>
        <w:t>• The Application Affidavit: The borrower applied for a KWD 1,250,000 Commodity Murabaha working capital facility. In Section 5.2 of the credit application form, executive management signed an affidavit certifying: 'Zero Contingent Liabilities, Zero Third-Party Guarantees, and Zero Encumbered Liens.'</w:t>
      </w:r>
    </w:p>
    <w:p>
      <w:r>
        <w:rPr>
          <w:rFonts w:ascii="Calibri" w:hAnsi="Calibri"/>
          <w:b/>
          <w:color w:val="1E293B"/>
          <w:sz w:val="22"/>
        </w:rPr>
        <w:t xml:space="preserve">The Undisclosed Conflict: </w:t>
      </w:r>
      <w:r>
        <w:rPr>
          <w:rFonts w:ascii="Calibri" w:hAnsi="Calibri"/>
          <w:i w:val="0"/>
          <w:color w:val="1E293B"/>
          <w:sz w:val="22"/>
        </w:rPr>
        <w:t>• The Forensic Discovery (Ref #F-922): SANAD circularized the dossier against the Ministry of Justice Legal Gazette. In Volume 44, Entry 18, the engine identified an active, undisclosed KWD 350,000 corporate performance bond issued on behalf of a sister entity, Pearl Logistics W.L.L., in which the borrower held a 30% common shareholding.</w:t>
      </w:r>
    </w:p>
    <w:p>
      <w:r>
        <w:rPr>
          <w:rFonts w:ascii="Calibri" w:hAnsi="Calibri"/>
          <w:b/>
          <w:color w:val="1E293B"/>
          <w:sz w:val="22"/>
        </w:rPr>
        <w:t xml:space="preserve">The Banking Risk: </w:t>
      </w:r>
      <w:r>
        <w:rPr>
          <w:rFonts w:ascii="Calibri" w:hAnsi="Calibri"/>
          <w:i w:val="0"/>
          <w:color w:val="1E293B"/>
          <w:sz w:val="22"/>
        </w:rPr>
        <w:t>• The Liquidation Threat: In the event of borrower insolvency, this undisclosed KWD 350,000 bond would dilute Warba Bank's ranking as senior secured creditor, impairing recovery value.</w:t>
      </w:r>
    </w:p>
    <w:p>
      <w:r>
        <w:rPr>
          <w:rFonts w:ascii="Calibri" w:hAnsi="Calibri"/>
          <w:b/>
          <w:color w:val="1E293B"/>
          <w:sz w:val="22"/>
        </w:rPr>
        <w:t xml:space="preserve">The Automated Remediation: </w:t>
      </w:r>
      <w:r>
        <w:rPr>
          <w:rFonts w:ascii="Calibri" w:hAnsi="Calibri"/>
          <w:i w:val="0"/>
          <w:color w:val="1E293B"/>
          <w:sz w:val="22"/>
        </w:rPr>
        <w:t>• Autonomous Legal Remediation: Rather than simply rejecting the application, SANAD automatically synthesized a protective legal Condition Precedent for the facility agreement: 'Prior to initial drawdown, borrower must execute an irrevocable Priority &amp; Subordination Deed ranking Warba Bank facility senior to affiliate guarantee.' Furthermore, it detected KWD 7,900 in conventional deposit interest and calculated the exact Taharah remittance to Bait Al-Zakat. The entire audit was completed in 38 seconds.</w:t>
      </w:r>
    </w:p>
    <w:p>
      <w:pPr>
        <w:pStyle w:val="Heading1"/>
      </w:pPr>
      <w:r>
        <w:rPr>
          <w:rFonts w:ascii="Calibri" w:hAnsi="Calibri"/>
          <w:b/>
          <w:color w:val="0F172A"/>
          <w:sz w:val="36"/>
        </w:rPr>
        <w:t>6. Front-Office Commercial Growth: Proactive RM Revenue Radar</w:t>
      </w:r>
    </w:p>
    <w:p/>
    <w:p>
      <w:r>
        <w:rPr>
          <w:rFonts w:ascii="Calibri" w:hAnsi="Calibri"/>
          <w:i w:val="0"/>
          <w:color w:val="1E293B"/>
          <w:sz w:val="22"/>
        </w:rPr>
        <w:t>A critical limitation of conventional credit risk systems is that they operate purely as defensive cost centers. SANAD transforms compliance data into front-office balance-sheet growth through its Proactive RM Revenue Radar:</w:t>
      </w:r>
    </w:p>
    <w:p>
      <w:pPr>
        <w:pStyle w:val="ListBullet"/>
      </w:pPr>
      <w:r>
        <w:rPr>
          <w:rFonts w:ascii="Calibri" w:hAnsi="Calibri"/>
          <w:b/>
          <w:color w:val="0F172A"/>
          <w:sz w:val="22"/>
        </w:rPr>
        <w:t xml:space="preserve">+KWD 700,000 Facility Expansion Opportunity: </w:t>
      </w:r>
      <w:r>
        <w:rPr>
          <w:rFonts w:ascii="Calibri" w:hAnsi="Calibri"/>
          <w:color w:val="1E293B"/>
          <w:sz w:val="22"/>
        </w:rPr>
        <w:t>During balance sheet circularization, SANAD identified an unencumbered, highly liquid inventory reserve of KWD 1,200,000 that was undervalued in the borrower's initial request. SANAD alerted the Relationship Manager that the borrower could comfortably support an additional KWD 700,000 Murabaha expansion (maintaining a safe DSCR of 3.80x), generating +KWD 39,375 in annual net profit margin for Warba Bank.</w:t>
      </w:r>
    </w:p>
    <w:p>
      <w:pPr>
        <w:pStyle w:val="ListBullet"/>
      </w:pPr>
      <w:r>
        <w:rPr>
          <w:rFonts w:ascii="Calibri" w:hAnsi="Calibri"/>
          <w:b/>
          <w:color w:val="0F172A"/>
          <w:sz w:val="22"/>
        </w:rPr>
        <w:t xml:space="preserve">Trade Finance (LC) Cross-Selling: </w:t>
      </w:r>
      <w:r>
        <w:rPr>
          <w:rFonts w:ascii="Calibri" w:hAnsi="Calibri"/>
          <w:color w:val="1E293B"/>
          <w:sz w:val="22"/>
        </w:rPr>
        <w:t>Cross-referencing supplier import ledgers revealed heavy container volume from Southeast Asian agricultural suppliers. SANAD auto-drafted a proposal for an Import Letter of Credit (LC) facility and foreign exchange hedging line, deepening client wallet share.</w:t>
      </w:r>
    </w:p>
    <w:p>
      <w:pPr>
        <w:pStyle w:val="ListBullet"/>
      </w:pPr>
      <w:r>
        <w:rPr>
          <w:rFonts w:ascii="Calibri" w:hAnsi="Calibri"/>
          <w:b/>
          <w:color w:val="0F172A"/>
          <w:sz w:val="22"/>
        </w:rPr>
        <w:t xml:space="preserve">Automated Maturity &amp; Covenant Watchlist: </w:t>
      </w:r>
      <w:r>
        <w:rPr>
          <w:rFonts w:ascii="Calibri" w:hAnsi="Calibri"/>
          <w:color w:val="1E293B"/>
          <w:sz w:val="22"/>
        </w:rPr>
        <w:t>Monitors facility expiration schedules 90 days in advance, pre-drafting renewal credit memorandums so Relationship Managers can secure refinancing business before competitor banks intervene.</w:t>
      </w:r>
    </w:p>
    <w:p>
      <w:pPr>
        <w:pStyle w:val="Heading1"/>
      </w:pPr>
      <w:r>
        <w:rPr>
          <w:rFonts w:ascii="Calibri" w:hAnsi="Calibri"/>
          <w:b/>
          <w:color w:val="0F172A"/>
          <w:sz w:val="36"/>
        </w:rPr>
        <w:t>7. Competitive Advantage: Why SANAD Is Uniquely Defensible</w:t>
      </w:r>
    </w:p>
    <w:p/>
    <w:p>
      <w:r>
        <w:rPr>
          <w:rFonts w:ascii="Calibri" w:hAnsi="Calibri"/>
          <w:i w:val="0"/>
          <w:color w:val="1E293B"/>
          <w:sz w:val="22"/>
        </w:rPr>
        <w:t>The table below demonstrates how SANAD fundamentally outperforms conventional technologies across every institutional banking dimension:</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1E293B"/>
            <w:tcMar>
              <w:top w:w="100" w:type="dxa"/>
              <w:bottom w:w="100" w:type="dxa"/>
              <w:left w:w="100" w:type="dxa"/>
              <w:right w:w="100" w:type="dxa"/>
            </w:tcMar>
          </w:tcPr>
          <w:p>
            <w:r>
              <w:rPr>
                <w:rFonts w:ascii="Calibri" w:hAnsi="Calibri"/>
                <w:b/>
                <w:color w:val="FFFFFF"/>
                <w:sz w:val="20"/>
              </w:rPr>
              <w:t>Capability</w:t>
            </w:r>
          </w:p>
        </w:tc>
        <w:tc>
          <w:tcPr>
            <w:tcW w:type="dxa" w:w="2484"/>
            <w:shd w:val="clear" w:color="auto" w:fill="1E293B"/>
            <w:tcMar>
              <w:top w:w="100" w:type="dxa"/>
              <w:bottom w:w="100" w:type="dxa"/>
              <w:left w:w="100" w:type="dxa"/>
              <w:right w:w="100" w:type="dxa"/>
            </w:tcMar>
          </w:tcPr>
          <w:p>
            <w:r>
              <w:rPr>
                <w:rFonts w:ascii="Calibri" w:hAnsi="Calibri"/>
                <w:b/>
                <w:color w:val="FFFFFF"/>
                <w:sz w:val="20"/>
              </w:rPr>
              <w:t>Generic GenAI (ChatGPT/Claude)</w:t>
            </w:r>
          </w:p>
        </w:tc>
        <w:tc>
          <w:tcPr>
            <w:tcW w:type="dxa" w:w="2484"/>
            <w:shd w:val="clear" w:color="auto" w:fill="1E293B"/>
            <w:tcMar>
              <w:top w:w="100" w:type="dxa"/>
              <w:bottom w:w="100" w:type="dxa"/>
              <w:left w:w="100" w:type="dxa"/>
              <w:right w:w="100" w:type="dxa"/>
            </w:tcMar>
          </w:tcPr>
          <w:p>
            <w:r>
              <w:rPr>
                <w:rFonts w:ascii="Calibri" w:hAnsi="Calibri"/>
                <w:b/>
                <w:color w:val="FFFFFF"/>
                <w:sz w:val="20"/>
              </w:rPr>
              <w:t>Legacy OCR (ABBYY/Kofax)</w:t>
            </w:r>
          </w:p>
        </w:tc>
        <w:tc>
          <w:tcPr>
            <w:tcW w:type="dxa" w:w="2484"/>
            <w:shd w:val="clear" w:color="auto" w:fill="1E293B"/>
            <w:tcMar>
              <w:top w:w="100" w:type="dxa"/>
              <w:bottom w:w="100" w:type="dxa"/>
              <w:left w:w="100" w:type="dxa"/>
              <w:right w:w="100" w:type="dxa"/>
            </w:tcMar>
          </w:tcPr>
          <w:p>
            <w:r>
              <w:rPr>
                <w:rFonts w:ascii="Calibri" w:hAnsi="Calibri"/>
                <w:b/>
                <w:color w:val="FFFFFF"/>
                <w:sz w:val="20"/>
              </w:rPr>
              <w:t>SANAD Engine (Warba Bank)</w:t>
            </w:r>
          </w:p>
        </w:tc>
      </w:tr>
      <w:tr>
        <w:tc>
          <w:tcPr>
            <w:tcW w:type="dxa" w:w="2484"/>
            <w:shd w:val="clear" w:color="auto" w:fill="F8FAFC"/>
            <w:tcMar>
              <w:top w:w="80" w:type="dxa"/>
              <w:bottom w:w="80" w:type="dxa"/>
              <w:left w:w="100" w:type="dxa"/>
              <w:right w:w="100" w:type="dxa"/>
            </w:tcMar>
          </w:tcPr>
          <w:p>
            <w:r>
              <w:rPr>
                <w:rFonts w:ascii="Calibri" w:hAnsi="Calibri"/>
                <w:color w:val="1E293B"/>
                <w:sz w:val="19"/>
              </w:rPr>
              <w:t>Multi-Document Cross-Verification</w:t>
            </w:r>
          </w:p>
        </w:tc>
        <w:tc>
          <w:tcPr>
            <w:tcW w:type="dxa" w:w="2484"/>
            <w:shd w:val="clear" w:color="auto" w:fill="F8FAFC"/>
            <w:tcMar>
              <w:top w:w="80" w:type="dxa"/>
              <w:bottom w:w="80" w:type="dxa"/>
              <w:left w:w="100" w:type="dxa"/>
              <w:right w:w="100" w:type="dxa"/>
            </w:tcMar>
          </w:tcPr>
          <w:p>
            <w:r>
              <w:rPr>
                <w:rFonts w:ascii="Calibri" w:hAnsi="Calibri"/>
                <w:color w:val="1E293B"/>
                <w:sz w:val="19"/>
              </w:rPr>
              <w:t>No (Evaluates prompts in isolation)</w:t>
            </w:r>
          </w:p>
        </w:tc>
        <w:tc>
          <w:tcPr>
            <w:tcW w:type="dxa" w:w="2484"/>
            <w:shd w:val="clear" w:color="auto" w:fill="F8FAFC"/>
            <w:tcMar>
              <w:top w:w="80" w:type="dxa"/>
              <w:bottom w:w="80" w:type="dxa"/>
              <w:left w:w="100" w:type="dxa"/>
              <w:right w:w="100" w:type="dxa"/>
            </w:tcMar>
          </w:tcPr>
          <w:p>
            <w:r>
              <w:rPr>
                <w:rFonts w:ascii="Calibri" w:hAnsi="Calibri"/>
                <w:color w:val="1E293B"/>
                <w:sz w:val="19"/>
              </w:rPr>
              <w:t>No (Isolated text extraction)</w:t>
            </w:r>
          </w:p>
        </w:tc>
        <w:tc>
          <w:tcPr>
            <w:tcW w:type="dxa" w:w="2484"/>
            <w:shd w:val="clear" w:color="auto" w:fill="EFF6FF"/>
            <w:tcMar>
              <w:top w:w="80" w:type="dxa"/>
              <w:bottom w:w="80" w:type="dxa"/>
              <w:left w:w="100" w:type="dxa"/>
              <w:right w:w="100" w:type="dxa"/>
            </w:tcMar>
          </w:tcPr>
          <w:p>
            <w:r>
              <w:rPr>
                <w:rFonts w:ascii="Calibri" w:hAnsi="Calibri"/>
                <w:b/>
                <w:color w:val="2563EB"/>
                <w:sz w:val="19"/>
              </w:rPr>
              <w:t>Yes (Adversarial circularization between filings)</w:t>
            </w:r>
          </w:p>
        </w:tc>
      </w:tr>
      <w:tr>
        <w:tc>
          <w:tcPr>
            <w:tcW w:type="dxa" w:w="2484"/>
            <w:shd w:val="clear" w:color="auto" w:fill="FFFFFF"/>
            <w:tcMar>
              <w:top w:w="80" w:type="dxa"/>
              <w:bottom w:w="80" w:type="dxa"/>
              <w:left w:w="100" w:type="dxa"/>
              <w:right w:w="100" w:type="dxa"/>
            </w:tcMar>
          </w:tcPr>
          <w:p>
            <w:r>
              <w:rPr>
                <w:rFonts w:ascii="Calibri" w:hAnsi="Calibri"/>
                <w:color w:val="1E293B"/>
                <w:sz w:val="19"/>
              </w:rPr>
              <w:t>Shariah AAOIFI Standards 21 &amp; 35</w:t>
            </w:r>
          </w:p>
        </w:tc>
        <w:tc>
          <w:tcPr>
            <w:tcW w:type="dxa" w:w="2484"/>
            <w:shd w:val="clear" w:color="auto" w:fill="FFFFFF"/>
            <w:tcMar>
              <w:top w:w="80" w:type="dxa"/>
              <w:bottom w:w="80" w:type="dxa"/>
              <w:left w:w="100" w:type="dxa"/>
              <w:right w:w="100" w:type="dxa"/>
            </w:tcMar>
          </w:tcPr>
          <w:p>
            <w:r>
              <w:rPr>
                <w:rFonts w:ascii="Calibri" w:hAnsi="Calibri"/>
                <w:color w:val="1E293B"/>
                <w:sz w:val="19"/>
              </w:rPr>
              <w:t>No (Produces generic Islamic finance text)</w:t>
            </w:r>
          </w:p>
        </w:tc>
        <w:tc>
          <w:tcPr>
            <w:tcW w:type="dxa" w:w="2484"/>
            <w:shd w:val="clear" w:color="auto" w:fill="FFFFFF"/>
            <w:tcMar>
              <w:top w:w="80" w:type="dxa"/>
              <w:bottom w:w="80" w:type="dxa"/>
              <w:left w:w="100" w:type="dxa"/>
              <w:right w:w="100" w:type="dxa"/>
            </w:tcMar>
          </w:tcPr>
          <w:p>
            <w:r>
              <w:rPr>
                <w:rFonts w:ascii="Calibri" w:hAnsi="Calibri"/>
                <w:color w:val="1E293B"/>
                <w:sz w:val="19"/>
              </w:rPr>
              <w:t>No (Zero financial logic)</w:t>
            </w:r>
          </w:p>
        </w:tc>
        <w:tc>
          <w:tcPr>
            <w:tcW w:type="dxa" w:w="2484"/>
            <w:shd w:val="clear" w:color="auto" w:fill="EFF6FF"/>
            <w:tcMar>
              <w:top w:w="80" w:type="dxa"/>
              <w:bottom w:w="80" w:type="dxa"/>
              <w:left w:w="100" w:type="dxa"/>
              <w:right w:w="100" w:type="dxa"/>
            </w:tcMar>
          </w:tcPr>
          <w:p>
            <w:r>
              <w:rPr>
                <w:rFonts w:ascii="Calibri" w:hAnsi="Calibri"/>
                <w:b/>
                <w:color w:val="2563EB"/>
                <w:sz w:val="19"/>
              </w:rPr>
              <w:t>Yes (Deterministic Taharah math down to the fil)</w:t>
            </w:r>
          </w:p>
        </w:tc>
      </w:tr>
      <w:tr>
        <w:tc>
          <w:tcPr>
            <w:tcW w:type="dxa" w:w="2484"/>
            <w:shd w:val="clear" w:color="auto" w:fill="F8FAFC"/>
            <w:tcMar>
              <w:top w:w="80" w:type="dxa"/>
              <w:bottom w:w="80" w:type="dxa"/>
              <w:left w:w="100" w:type="dxa"/>
              <w:right w:w="100" w:type="dxa"/>
            </w:tcMar>
          </w:tcPr>
          <w:p>
            <w:r>
              <w:rPr>
                <w:rFonts w:ascii="Calibri" w:hAnsi="Calibri"/>
                <w:color w:val="1E293B"/>
                <w:sz w:val="19"/>
              </w:rPr>
              <w:t>Registry Integration (MOCI/CiNet)</w:t>
            </w:r>
          </w:p>
        </w:tc>
        <w:tc>
          <w:tcPr>
            <w:tcW w:type="dxa" w:w="2484"/>
            <w:shd w:val="clear" w:color="auto" w:fill="F8FAFC"/>
            <w:tcMar>
              <w:top w:w="80" w:type="dxa"/>
              <w:bottom w:w="80" w:type="dxa"/>
              <w:left w:w="100" w:type="dxa"/>
              <w:right w:w="100" w:type="dxa"/>
            </w:tcMar>
          </w:tcPr>
          <w:p>
            <w:r>
              <w:rPr>
                <w:rFonts w:ascii="Calibri" w:hAnsi="Calibri"/>
                <w:color w:val="1E293B"/>
                <w:sz w:val="19"/>
              </w:rPr>
              <w:t>No (Static knowledge cutoff)</w:t>
            </w:r>
          </w:p>
        </w:tc>
        <w:tc>
          <w:tcPr>
            <w:tcW w:type="dxa" w:w="2484"/>
            <w:shd w:val="clear" w:color="auto" w:fill="F8FAFC"/>
            <w:tcMar>
              <w:top w:w="80" w:type="dxa"/>
              <w:bottom w:w="80" w:type="dxa"/>
              <w:left w:w="100" w:type="dxa"/>
              <w:right w:w="100" w:type="dxa"/>
            </w:tcMar>
          </w:tcPr>
          <w:p>
            <w:r>
              <w:rPr>
                <w:rFonts w:ascii="Calibri" w:hAnsi="Calibri"/>
                <w:color w:val="1E293B"/>
                <w:sz w:val="19"/>
              </w:rPr>
              <w:t>No (Manual file upload only)</w:t>
            </w:r>
          </w:p>
        </w:tc>
        <w:tc>
          <w:tcPr>
            <w:tcW w:type="dxa" w:w="2484"/>
            <w:shd w:val="clear" w:color="auto" w:fill="EFF6FF"/>
            <w:tcMar>
              <w:top w:w="80" w:type="dxa"/>
              <w:bottom w:w="80" w:type="dxa"/>
              <w:left w:w="100" w:type="dxa"/>
              <w:right w:w="100" w:type="dxa"/>
            </w:tcMar>
          </w:tcPr>
          <w:p>
            <w:r>
              <w:rPr>
                <w:rFonts w:ascii="Calibri" w:hAnsi="Calibri"/>
                <w:b/>
                <w:color w:val="2563EB"/>
                <w:sz w:val="19"/>
              </w:rPr>
              <w:t>Yes (Live CR lookup &amp; bureau circularization)</w:t>
            </w:r>
          </w:p>
        </w:tc>
      </w:tr>
      <w:tr>
        <w:tc>
          <w:tcPr>
            <w:tcW w:type="dxa" w:w="2484"/>
            <w:shd w:val="clear" w:color="auto" w:fill="FFFFFF"/>
            <w:tcMar>
              <w:top w:w="80" w:type="dxa"/>
              <w:bottom w:w="80" w:type="dxa"/>
              <w:left w:w="100" w:type="dxa"/>
              <w:right w:w="100" w:type="dxa"/>
            </w:tcMar>
          </w:tcPr>
          <w:p>
            <w:r>
              <w:rPr>
                <w:rFonts w:ascii="Calibri" w:hAnsi="Calibri"/>
                <w:color w:val="1E293B"/>
                <w:sz w:val="19"/>
              </w:rPr>
              <w:t>Banking Documentation Studio</w:t>
            </w:r>
          </w:p>
        </w:tc>
        <w:tc>
          <w:tcPr>
            <w:tcW w:type="dxa" w:w="2484"/>
            <w:shd w:val="clear" w:color="auto" w:fill="FFFFFF"/>
            <w:tcMar>
              <w:top w:w="80" w:type="dxa"/>
              <w:bottom w:w="80" w:type="dxa"/>
              <w:left w:w="100" w:type="dxa"/>
              <w:right w:w="100" w:type="dxa"/>
            </w:tcMar>
          </w:tcPr>
          <w:p>
            <w:r>
              <w:rPr>
                <w:rFonts w:ascii="Calibri" w:hAnsi="Calibri"/>
                <w:color w:val="1E293B"/>
                <w:sz w:val="19"/>
              </w:rPr>
              <w:t>No (Unstructured chat output)</w:t>
            </w:r>
          </w:p>
        </w:tc>
        <w:tc>
          <w:tcPr>
            <w:tcW w:type="dxa" w:w="2484"/>
            <w:shd w:val="clear" w:color="auto" w:fill="FFFFFF"/>
            <w:tcMar>
              <w:top w:w="80" w:type="dxa"/>
              <w:bottom w:w="80" w:type="dxa"/>
              <w:left w:w="100" w:type="dxa"/>
              <w:right w:w="100" w:type="dxa"/>
            </w:tcMar>
          </w:tcPr>
          <w:p>
            <w:r>
              <w:rPr>
                <w:rFonts w:ascii="Calibri" w:hAnsi="Calibri"/>
                <w:color w:val="1E293B"/>
                <w:sz w:val="19"/>
              </w:rPr>
              <w:t>No (Raw extracted text/CSV)</w:t>
            </w:r>
          </w:p>
        </w:tc>
        <w:tc>
          <w:tcPr>
            <w:tcW w:type="dxa" w:w="2484"/>
            <w:shd w:val="clear" w:color="auto" w:fill="EFF6FF"/>
            <w:tcMar>
              <w:top w:w="80" w:type="dxa"/>
              <w:bottom w:w="80" w:type="dxa"/>
              <w:left w:w="100" w:type="dxa"/>
              <w:right w:w="100" w:type="dxa"/>
            </w:tcMar>
          </w:tcPr>
          <w:p>
            <w:r>
              <w:rPr>
                <w:rFonts w:ascii="Calibri" w:hAnsi="Calibri"/>
                <w:b/>
                <w:color w:val="2563EB"/>
                <w:sz w:val="19"/>
              </w:rPr>
              <w:t>Yes (CAM, Term Sheet, RM Brief, SSB Memo)</w:t>
            </w:r>
          </w:p>
        </w:tc>
      </w:tr>
      <w:tr>
        <w:tc>
          <w:tcPr>
            <w:tcW w:type="dxa" w:w="2484"/>
            <w:shd w:val="clear" w:color="auto" w:fill="F8FAFC"/>
            <w:tcMar>
              <w:top w:w="80" w:type="dxa"/>
              <w:bottom w:w="80" w:type="dxa"/>
              <w:left w:w="100" w:type="dxa"/>
              <w:right w:w="100" w:type="dxa"/>
            </w:tcMar>
          </w:tcPr>
          <w:p>
            <w:r>
              <w:rPr>
                <w:rFonts w:ascii="Calibri" w:hAnsi="Calibri"/>
                <w:color w:val="1E293B"/>
                <w:sz w:val="19"/>
              </w:rPr>
              <w:t>CBK Sovereign Data Privacy</w:t>
            </w:r>
          </w:p>
        </w:tc>
        <w:tc>
          <w:tcPr>
            <w:tcW w:type="dxa" w:w="2484"/>
            <w:shd w:val="clear" w:color="auto" w:fill="F8FAFC"/>
            <w:tcMar>
              <w:top w:w="80" w:type="dxa"/>
              <w:bottom w:w="80" w:type="dxa"/>
              <w:left w:w="100" w:type="dxa"/>
              <w:right w:w="100" w:type="dxa"/>
            </w:tcMar>
          </w:tcPr>
          <w:p>
            <w:r>
              <w:rPr>
                <w:rFonts w:ascii="Calibri" w:hAnsi="Calibri"/>
                <w:color w:val="1E293B"/>
                <w:sz w:val="19"/>
              </w:rPr>
              <w:t>No (Public cloud data leakage)</w:t>
            </w:r>
          </w:p>
        </w:tc>
        <w:tc>
          <w:tcPr>
            <w:tcW w:type="dxa" w:w="2484"/>
            <w:shd w:val="clear" w:color="auto" w:fill="F8FAFC"/>
            <w:tcMar>
              <w:top w:w="80" w:type="dxa"/>
              <w:bottom w:w="80" w:type="dxa"/>
              <w:left w:w="100" w:type="dxa"/>
              <w:right w:w="100" w:type="dxa"/>
            </w:tcMar>
          </w:tcPr>
          <w:p>
            <w:r>
              <w:rPr>
                <w:rFonts w:ascii="Calibri" w:hAnsi="Calibri"/>
                <w:color w:val="1E293B"/>
                <w:sz w:val="19"/>
              </w:rPr>
              <w:t>Varies (Requires custom setup)</w:t>
            </w:r>
          </w:p>
        </w:tc>
        <w:tc>
          <w:tcPr>
            <w:tcW w:type="dxa" w:w="2484"/>
            <w:shd w:val="clear" w:color="auto" w:fill="EFF6FF"/>
            <w:tcMar>
              <w:top w:w="80" w:type="dxa"/>
              <w:bottom w:w="80" w:type="dxa"/>
              <w:left w:w="100" w:type="dxa"/>
              <w:right w:w="100" w:type="dxa"/>
            </w:tcMar>
          </w:tcPr>
          <w:p>
            <w:r>
              <w:rPr>
                <w:rFonts w:ascii="Calibri" w:hAnsi="Calibri"/>
                <w:b/>
                <w:color w:val="2563EB"/>
                <w:sz w:val="19"/>
              </w:rPr>
              <w:t>Yes (On-premise sovereign PII redactor)</w:t>
            </w:r>
          </w:p>
        </w:tc>
      </w:tr>
    </w:tbl>
    <w:p/>
    <w:p>
      <w:pPr>
        <w:pStyle w:val="Heading1"/>
      </w:pPr>
      <w:r>
        <w:rPr>
          <w:rFonts w:ascii="Calibri" w:hAnsi="Calibri"/>
          <w:b/>
          <w:color w:val="0F172A"/>
          <w:sz w:val="36"/>
        </w:rPr>
        <w:t>8. Production Readiness &amp; 60-Second Evaluation Protocol</w:t>
      </w:r>
    </w:p>
    <w:p/>
    <w:p>
      <w:r>
        <w:rPr>
          <w:rFonts w:ascii="Calibri" w:hAnsi="Calibri"/>
          <w:i w:val="0"/>
          <w:color w:val="1E293B"/>
          <w:sz w:val="22"/>
        </w:rPr>
        <w:t>SANAD is not a conceptual mockup. A fully functional, production-hardened instance is live, connected to cloud microservices, and ready for immediate evaluation:</w:t>
      </w:r>
    </w:p>
    <w:p>
      <w:r>
        <w:rPr>
          <w:rFonts w:ascii="Calibri" w:hAnsi="Calibri"/>
          <w:b/>
          <w:color w:val="1E293B"/>
          <w:sz w:val="22"/>
        </w:rPr>
        <w:t xml:space="preserve">Access URLs: </w:t>
      </w:r>
      <w:r>
        <w:rPr>
          <w:rFonts w:ascii="Calibri" w:hAnsi="Calibri"/>
          <w:i w:val="0"/>
          <w:color w:val="1E293B"/>
          <w:sz w:val="22"/>
        </w:rPr>
        <w:t>• Live Production Application: https://sanad-engine.netlify.app</w:t>
        <w:br/>
        <w:t>• Live Backend API Microservice: https://sanad-production-9d51.up.railway.app/health</w:t>
        <w:br/>
        <w:t>• Public GitHub Code Repository: https://github.com/anajimdeen01-debug/sanad-frontend</w:t>
      </w:r>
    </w:p>
    <w:p>
      <w:pPr>
        <w:pStyle w:val="Heading2"/>
      </w:pPr>
      <w:r>
        <w:rPr>
          <w:rFonts w:ascii="Calibri" w:hAnsi="Calibri"/>
          <w:b/>
          <w:color w:val="2563EB"/>
          <w:sz w:val="26"/>
        </w:rPr>
        <w:t>Step-by-Step 60-Second Evaluation Walkthrough:</w:t>
      </w:r>
    </w:p>
    <w:p>
      <w:pPr>
        <w:pStyle w:val="ListBullet"/>
      </w:pPr>
      <w:r>
        <w:rPr>
          <w:rFonts w:ascii="Calibri" w:hAnsi="Calibri"/>
          <w:b/>
          <w:color w:val="0F172A"/>
          <w:sz w:val="22"/>
        </w:rPr>
        <w:t xml:space="preserve">Step 1 — Launch the Platform: </w:t>
      </w:r>
      <w:r>
        <w:rPr>
          <w:rFonts w:ascii="Calibri" w:hAnsi="Calibri"/>
          <w:color w:val="1E293B"/>
          <w:sz w:val="22"/>
        </w:rPr>
        <w:t>Visit https://sanad-engine.netlify.app. The platform loads into the Institutional Command Workspace with pre-loaded corporate accounts.</w:t>
      </w:r>
    </w:p>
    <w:p>
      <w:pPr>
        <w:pStyle w:val="ListBullet"/>
      </w:pPr>
      <w:r>
        <w:rPr>
          <w:rFonts w:ascii="Calibri" w:hAnsi="Calibri"/>
          <w:b/>
          <w:color w:val="0F172A"/>
          <w:sz w:val="22"/>
        </w:rPr>
        <w:t xml:space="preserve">Step 2 — Select Corporate Dossier: </w:t>
      </w:r>
      <w:r>
        <w:rPr>
          <w:rFonts w:ascii="Calibri" w:hAnsi="Calibri"/>
          <w:color w:val="1E293B"/>
          <w:sz w:val="22"/>
        </w:rPr>
        <w:t>Click on Gulf Pearl Foods Trading W.L.L. (CR #204918-KW) from the directory. The workspace instantly loads the audited financial metrics.</w:t>
      </w:r>
    </w:p>
    <w:p>
      <w:pPr>
        <w:pStyle w:val="ListBullet"/>
      </w:pPr>
      <w:r>
        <w:rPr>
          <w:rFonts w:ascii="Calibri" w:hAnsi="Calibri"/>
          <w:b/>
          <w:color w:val="0F172A"/>
          <w:sz w:val="22"/>
        </w:rPr>
        <w:t xml:space="preserve">Step 3 — Inspect Autonomous AI Forensics: </w:t>
      </w:r>
      <w:r>
        <w:rPr>
          <w:rFonts w:ascii="Calibri" w:hAnsi="Calibri"/>
          <w:color w:val="1E293B"/>
          <w:sz w:val="22"/>
        </w:rPr>
        <w:t>Scroll down to the 'Sanad Intelligence' section. Examine the 4 multi-paragraph analytical chapters authored autonomously by Google Gemini with zero static templates.</w:t>
      </w:r>
    </w:p>
    <w:p>
      <w:pPr>
        <w:pStyle w:val="ListBullet"/>
      </w:pPr>
      <w:r>
        <w:rPr>
          <w:rFonts w:ascii="Calibri" w:hAnsi="Calibri"/>
          <w:b/>
          <w:color w:val="0F172A"/>
          <w:sz w:val="22"/>
        </w:rPr>
        <w:t xml:space="preserve">Step 4 — Verify Grounded Citations: </w:t>
      </w:r>
      <w:r>
        <w:rPr>
          <w:rFonts w:ascii="Calibri" w:hAnsi="Calibri"/>
          <w:color w:val="1E293B"/>
          <w:sz w:val="22"/>
        </w:rPr>
        <w:t>Click the interactive citation chips (e.g. [#F-922: Undisclosed Bond] or [AAOIFI-21: Taharah]). A pop-up document viewer displays the exact originating corporate filing, page number, and SHA-256 hash.</w:t>
      </w:r>
    </w:p>
    <w:p>
      <w:pPr>
        <w:pStyle w:val="ListBullet"/>
      </w:pPr>
      <w:r>
        <w:rPr>
          <w:rFonts w:ascii="Calibri" w:hAnsi="Calibri"/>
          <w:b/>
          <w:color w:val="0F172A"/>
          <w:sz w:val="22"/>
        </w:rPr>
        <w:t xml:space="preserve">Step 5 — Trigger Live Unscripted Reasoning: </w:t>
      </w:r>
      <w:r>
        <w:rPr>
          <w:rFonts w:ascii="Calibri" w:hAnsi="Calibri"/>
          <w:color w:val="1E293B"/>
          <w:sz w:val="22"/>
        </w:rPr>
        <w:t>Click the '⚡ Re-Analyze with Gemini' button at the top banner. Watch the engine reason live across company figures in real-time.</w:t>
      </w:r>
    </w:p>
    <w:p>
      <w:pPr>
        <w:pStyle w:val="ListBullet"/>
      </w:pPr>
      <w:r>
        <w:rPr>
          <w:rFonts w:ascii="Calibri" w:hAnsi="Calibri"/>
          <w:b/>
          <w:color w:val="0F172A"/>
          <w:sz w:val="22"/>
        </w:rPr>
        <w:t xml:space="preserve">Step 6 — Stress-Test Covenants: </w:t>
      </w:r>
      <w:r>
        <w:rPr>
          <w:rFonts w:ascii="Calibri" w:hAnsi="Calibri"/>
          <w:color w:val="1E293B"/>
          <w:sz w:val="22"/>
        </w:rPr>
        <w:t>Under 'Debt Service Coverage (DSCR)', drag the Revenue Stress slider to -25%. The chart dynamically recalculates the cash flow impact against Warba Bank's 1.25x floor.</w:t>
      </w:r>
    </w:p>
    <w:p>
      <w:pPr>
        <w:pStyle w:val="ListBullet"/>
      </w:pPr>
      <w:r>
        <w:rPr>
          <w:rFonts w:ascii="Calibri" w:hAnsi="Calibri"/>
          <w:b/>
          <w:color w:val="0F172A"/>
          <w:sz w:val="22"/>
        </w:rPr>
        <w:t xml:space="preserve">Step 7 — Inspect Client Documentation Studio: </w:t>
      </w:r>
      <w:r>
        <w:rPr>
          <w:rFonts w:ascii="Calibri" w:hAnsi="Calibri"/>
          <w:color w:val="1E293B"/>
          <w:sz w:val="22"/>
        </w:rPr>
        <w:t>Switch to the 'Client Documentation Studio' tab. Toggle between the Credit Memo (CAM), Murabaha Term Sheet, and RM Brief.</w:t>
      </w:r>
    </w:p>
    <w:p>
      <w:pPr>
        <w:pStyle w:val="ListBullet"/>
      </w:pPr>
      <w:r>
        <w:rPr>
          <w:rFonts w:ascii="Calibri" w:hAnsi="Calibri"/>
          <w:b/>
          <w:color w:val="0F172A"/>
          <w:sz w:val="22"/>
        </w:rPr>
        <w:t xml:space="preserve">Step 8 — Governance Sign-Off: </w:t>
      </w:r>
      <w:r>
        <w:rPr>
          <w:rFonts w:ascii="Calibri" w:hAnsi="Calibri"/>
          <w:color w:val="1E293B"/>
          <w:sz w:val="22"/>
        </w:rPr>
        <w:t>Click 'Sign as Analyst' and 'Sign as SCU' to record digital cryptographic endorsements.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