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GULF RETAIL &amp; DISTRIBUTION K.S.C.C.</w:t>
      </w:r>
    </w:p>
    <w:p>
      <w:r>
        <w:t>INDEPENDENT AUDITOR REPORT &amp; AUDITED CONSOLIDATED FINANCIAL STATEMENTS</w:t>
      </w:r>
    </w:p>
    <w:p>
      <w:r>
        <w:t>For the Financial Year Ended 31 December 2025 | Auditing House: Ernst &amp; Young (EY) Al-Aiban, Al-Osaimi &amp; Partners</w:t>
      </w:r>
    </w:p>
    <w:p>
      <w:pPr>
        <w:pStyle w:val="Heading1"/>
      </w:pPr>
      <w:r>
        <w:t>1. Independent Auditor Opinion (Unqualified / Clean)</w:t>
      </w:r>
    </w:p>
    <w:p>
      <w:r>
        <w:t>We have audited the consolidated financial statements of Gulf Retail &amp; Distribution K.S.C.C. (the Company), which comprise the consolidated statement of financial position as of 31 December 2025, and the consolidated statement of profit or loss, statement of cash flows for the year then ended.</w:t>
        <w:br/>
        <w:t>In our opinion, the accompanying financial statements present fairly, in all material respects, the financial position of the Company as at 31 December 2025, and its financial performance and cash flows for the year then ended in accordance with International Financial Reporting Standards (IFRS).</w:t>
      </w:r>
    </w:p>
    <w:p>
      <w:pPr>
        <w:pStyle w:val="Heading1"/>
      </w:pPr>
      <w:r>
        <w:t>2. Consolidated Statement of Financial Position (Balance Sheet)</w:t>
      </w:r>
    </w:p>
    <w:tbl>
      <w:tblPr>
        <w:tblW w:type="auto" w:w="0"/>
        <w:tblLook w:firstColumn="1" w:firstRow="1" w:lastColumn="0" w:lastRow="0" w:noHBand="0" w:noVBand="1" w:val="04A0"/>
      </w:tblPr>
      <w:tblGrid>
        <w:gridCol w:w="2880"/>
        <w:gridCol w:w="2880"/>
        <w:gridCol w:w="2880"/>
      </w:tblGrid>
      <w:tr>
        <w:tc>
          <w:tcPr>
            <w:tcW w:type="dxa" w:w="2880"/>
          </w:tcPr>
          <w:p>
            <w:r>
              <w:t>Metric / Line Item</w:t>
            </w:r>
          </w:p>
        </w:tc>
        <w:tc>
          <w:tcPr>
            <w:tcW w:type="dxa" w:w="2880"/>
          </w:tcPr>
          <w:p>
            <w:r>
              <w:t>FY 2024 (KWD)</w:t>
            </w:r>
          </w:p>
        </w:tc>
        <w:tc>
          <w:tcPr>
            <w:tcW w:type="dxa" w:w="2880"/>
          </w:tcPr>
          <w:p>
            <w:r>
              <w:t>FY 2025 (KWD)</w:t>
            </w:r>
          </w:p>
        </w:tc>
      </w:tr>
      <w:tr>
        <w:tc>
          <w:tcPr>
            <w:tcW w:type="dxa" w:w="2880"/>
          </w:tcPr>
          <w:p>
            <w:r>
              <w:t>Cash &amp; Short-Term Bank Placements</w:t>
            </w:r>
          </w:p>
        </w:tc>
        <w:tc>
          <w:tcPr>
            <w:tcW w:type="dxa" w:w="2880"/>
          </w:tcPr>
          <w:p>
            <w:r>
              <w:t>3,450,000</w:t>
            </w:r>
          </w:p>
        </w:tc>
        <w:tc>
          <w:tcPr>
            <w:tcW w:type="dxa" w:w="2880"/>
          </w:tcPr>
          <w:p>
            <w:r>
              <w:t>4,305,000</w:t>
            </w:r>
          </w:p>
        </w:tc>
      </w:tr>
      <w:tr>
        <w:tc>
          <w:tcPr>
            <w:tcW w:type="dxa" w:w="2880"/>
          </w:tcPr>
          <w:p>
            <w:r>
              <w:t>Trade &amp; Other Receivables</w:t>
            </w:r>
          </w:p>
        </w:tc>
        <w:tc>
          <w:tcPr>
            <w:tcW w:type="dxa" w:w="2880"/>
          </w:tcPr>
          <w:p>
            <w:r>
              <w:t>2,850,000</w:t>
            </w:r>
          </w:p>
        </w:tc>
        <w:tc>
          <w:tcPr>
            <w:tcW w:type="dxa" w:w="2880"/>
          </w:tcPr>
          <w:p>
            <w:r>
              <w:t>3,120,000</w:t>
            </w:r>
          </w:p>
        </w:tc>
      </w:tr>
      <w:tr>
        <w:tc>
          <w:tcPr>
            <w:tcW w:type="dxa" w:w="2880"/>
          </w:tcPr>
          <w:p>
            <w:r>
              <w:t>Inventories (FMCG &amp; Cold Storage)</w:t>
            </w:r>
          </w:p>
        </w:tc>
        <w:tc>
          <w:tcPr>
            <w:tcW w:type="dxa" w:w="2880"/>
          </w:tcPr>
          <w:p>
            <w:r>
              <w:t>2,800,000</w:t>
            </w:r>
          </w:p>
        </w:tc>
        <w:tc>
          <w:tcPr>
            <w:tcW w:type="dxa" w:w="2880"/>
          </w:tcPr>
          <w:p>
            <w:r>
              <w:t>3,025,000</w:t>
            </w:r>
          </w:p>
        </w:tc>
      </w:tr>
      <w:tr>
        <w:tc>
          <w:tcPr>
            <w:tcW w:type="dxa" w:w="2880"/>
          </w:tcPr>
          <w:p>
            <w:r>
              <w:t>TOTAL ASSETS</w:t>
            </w:r>
          </w:p>
        </w:tc>
        <w:tc>
          <w:tcPr>
            <w:tcW w:type="dxa" w:w="2880"/>
          </w:tcPr>
          <w:p>
            <w:r>
              <w:t>9,100,000</w:t>
            </w:r>
          </w:p>
        </w:tc>
        <w:tc>
          <w:tcPr>
            <w:tcW w:type="dxa" w:w="2880"/>
          </w:tcPr>
          <w:p>
            <w:r>
              <w:t>10,450,000</w:t>
            </w:r>
          </w:p>
        </w:tc>
      </w:tr>
      <w:tr>
        <w:tc>
          <w:tcPr>
            <w:tcW w:type="dxa" w:w="2880"/>
          </w:tcPr>
          <w:p>
            <w:r>
              <w:t>Trade &amp; Short-Term Payables</w:t>
            </w:r>
          </w:p>
        </w:tc>
        <w:tc>
          <w:tcPr>
            <w:tcW w:type="dxa" w:w="2880"/>
          </w:tcPr>
          <w:p>
            <w:r>
              <w:t>1,950,000</w:t>
            </w:r>
          </w:p>
        </w:tc>
        <w:tc>
          <w:tcPr>
            <w:tcW w:type="dxa" w:w="2880"/>
          </w:tcPr>
          <w:p>
            <w:r>
              <w:t>2,680,000</w:t>
            </w:r>
          </w:p>
        </w:tc>
      </w:tr>
      <w:tr>
        <w:tc>
          <w:tcPr>
            <w:tcW w:type="dxa" w:w="2880"/>
          </w:tcPr>
          <w:p>
            <w:r>
              <w:t>Conventional Interest-Bearing Debt (Short/Long)</w:t>
            </w:r>
          </w:p>
        </w:tc>
        <w:tc>
          <w:tcPr>
            <w:tcW w:type="dxa" w:w="2880"/>
          </w:tcPr>
          <w:p>
            <w:r>
              <w:t>1,950,000</w:t>
            </w:r>
          </w:p>
        </w:tc>
        <w:tc>
          <w:tcPr>
            <w:tcW w:type="dxa" w:w="2880"/>
          </w:tcPr>
          <w:p>
            <w:r>
              <w:t>1,920,000</w:t>
            </w:r>
          </w:p>
        </w:tc>
      </w:tr>
      <w:tr>
        <w:tc>
          <w:tcPr>
            <w:tcW w:type="dxa" w:w="2880"/>
          </w:tcPr>
          <w:p>
            <w:r>
              <w:t>TOTAL LIABILITIES</w:t>
            </w:r>
          </w:p>
        </w:tc>
        <w:tc>
          <w:tcPr>
            <w:tcW w:type="dxa" w:w="2880"/>
          </w:tcPr>
          <w:p>
            <w:r>
              <w:t>3,900,000</w:t>
            </w:r>
          </w:p>
        </w:tc>
        <w:tc>
          <w:tcPr>
            <w:tcW w:type="dxa" w:w="2880"/>
          </w:tcPr>
          <w:p>
            <w:r>
              <w:t>4,600,000</w:t>
            </w:r>
          </w:p>
        </w:tc>
      </w:tr>
      <w:tr>
        <w:tc>
          <w:tcPr>
            <w:tcW w:type="dxa" w:w="2880"/>
          </w:tcPr>
          <w:p>
            <w:r>
              <w:t>Share Capital &amp; Reserves</w:t>
            </w:r>
          </w:p>
        </w:tc>
        <w:tc>
          <w:tcPr>
            <w:tcW w:type="dxa" w:w="2880"/>
          </w:tcPr>
          <w:p>
            <w:r>
              <w:t>5,200,000</w:t>
            </w:r>
          </w:p>
        </w:tc>
        <w:tc>
          <w:tcPr>
            <w:tcW w:type="dxa" w:w="2880"/>
          </w:tcPr>
          <w:p>
            <w:r>
              <w:t>5,850,000</w:t>
            </w:r>
          </w:p>
        </w:tc>
      </w:tr>
      <w:tr>
        <w:tc>
          <w:tcPr>
            <w:tcW w:type="dxa" w:w="2880"/>
          </w:tcPr>
          <w:p>
            <w:r>
              <w:t>TOTAL EQUITY</w:t>
            </w:r>
          </w:p>
        </w:tc>
        <w:tc>
          <w:tcPr>
            <w:tcW w:type="dxa" w:w="2880"/>
          </w:tcPr>
          <w:p>
            <w:r>
              <w:t>5,200,000</w:t>
            </w:r>
          </w:p>
        </w:tc>
        <w:tc>
          <w:tcPr>
            <w:tcW w:type="dxa" w:w="2880"/>
          </w:tcPr>
          <w:p>
            <w:r>
              <w:t>5,850,000</w:t>
            </w:r>
          </w:p>
        </w:tc>
      </w:tr>
    </w:tbl>
    <w:p>
      <w:pPr>
        <w:pStyle w:val="Heading1"/>
      </w:pPr>
      <w:r>
        <w:t>3. Consolidated Statement of Profit or Loss (Income Statement)</w:t>
      </w:r>
    </w:p>
    <w:tbl>
      <w:tblPr>
        <w:tblW w:type="auto" w:w="0"/>
        <w:tblLook w:firstColumn="1" w:firstRow="1" w:lastColumn="0" w:lastRow="0" w:noHBand="0" w:noVBand="1" w:val="04A0"/>
      </w:tblPr>
      <w:tblGrid>
        <w:gridCol w:w="2880"/>
        <w:gridCol w:w="2880"/>
        <w:gridCol w:w="2880"/>
      </w:tblGrid>
      <w:tr>
        <w:tc>
          <w:tcPr>
            <w:tcW w:type="dxa" w:w="2880"/>
          </w:tcPr>
          <w:p>
            <w:r>
              <w:t>Income Statement Line Item</w:t>
            </w:r>
          </w:p>
        </w:tc>
        <w:tc>
          <w:tcPr>
            <w:tcW w:type="dxa" w:w="2880"/>
          </w:tcPr>
          <w:p>
            <w:r>
              <w:t>FY 2024 (KWD)</w:t>
            </w:r>
          </w:p>
        </w:tc>
        <w:tc>
          <w:tcPr>
            <w:tcW w:type="dxa" w:w="2880"/>
          </w:tcPr>
          <w:p>
            <w:r>
              <w:t>FY 2025 (KWD)</w:t>
            </w:r>
          </w:p>
        </w:tc>
      </w:tr>
      <w:tr>
        <w:tc>
          <w:tcPr>
            <w:tcW w:type="dxa" w:w="2880"/>
          </w:tcPr>
          <w:p>
            <w:r>
              <w:t>Gross Operating Turnover / Revenue</w:t>
            </w:r>
          </w:p>
        </w:tc>
        <w:tc>
          <w:tcPr>
            <w:tcW w:type="dxa" w:w="2880"/>
          </w:tcPr>
          <w:p>
            <w:r>
              <w:t>12,150,000</w:t>
            </w:r>
          </w:p>
        </w:tc>
        <w:tc>
          <w:tcPr>
            <w:tcW w:type="dxa" w:w="2880"/>
          </w:tcPr>
          <w:p>
            <w:r>
              <w:t>13,984,800</w:t>
            </w:r>
          </w:p>
        </w:tc>
      </w:tr>
      <w:tr>
        <w:tc>
          <w:tcPr>
            <w:tcW w:type="dxa" w:w="2880"/>
          </w:tcPr>
          <w:p>
            <w:r>
              <w:t>Cost of Sales &amp; Supply Logistics</w:t>
            </w:r>
          </w:p>
        </w:tc>
        <w:tc>
          <w:tcPr>
            <w:tcW w:type="dxa" w:w="2880"/>
          </w:tcPr>
          <w:p>
            <w:r>
              <w:t>(8,450,000)</w:t>
            </w:r>
          </w:p>
        </w:tc>
        <w:tc>
          <w:tcPr>
            <w:tcW w:type="dxa" w:w="2880"/>
          </w:tcPr>
          <w:p>
            <w:r>
              <w:t>(9,593,573)</w:t>
            </w:r>
          </w:p>
        </w:tc>
      </w:tr>
      <w:tr>
        <w:tc>
          <w:tcPr>
            <w:tcW w:type="dxa" w:w="2880"/>
          </w:tcPr>
          <w:p>
            <w:r>
              <w:t>GROSS PROFIT (Margin: 31.4%)</w:t>
            </w:r>
          </w:p>
        </w:tc>
        <w:tc>
          <w:tcPr>
            <w:tcW w:type="dxa" w:w="2880"/>
          </w:tcPr>
          <w:p>
            <w:r>
              <w:t>3,700,000</w:t>
            </w:r>
          </w:p>
        </w:tc>
        <w:tc>
          <w:tcPr>
            <w:tcW w:type="dxa" w:w="2880"/>
          </w:tcPr>
          <w:p>
            <w:r>
              <w:t>4,391,227</w:t>
            </w:r>
          </w:p>
        </w:tc>
      </w:tr>
      <w:tr>
        <w:tc>
          <w:tcPr>
            <w:tcW w:type="dxa" w:w="2880"/>
          </w:tcPr>
          <w:p>
            <w:r>
              <w:t>Operating Expenses &amp; Overhead</w:t>
            </w:r>
          </w:p>
        </w:tc>
        <w:tc>
          <w:tcPr>
            <w:tcW w:type="dxa" w:w="2880"/>
          </w:tcPr>
          <w:p>
            <w:r>
              <w:t>(1,350,000)</w:t>
            </w:r>
          </w:p>
        </w:tc>
        <w:tc>
          <w:tcPr>
            <w:tcW w:type="dxa" w:w="2880"/>
          </w:tcPr>
          <w:p>
            <w:r>
              <w:t>(1,007,227)</w:t>
            </w:r>
          </w:p>
        </w:tc>
      </w:tr>
      <w:tr>
        <w:tc>
          <w:tcPr>
            <w:tcW w:type="dxa" w:w="2880"/>
          </w:tcPr>
          <w:p>
            <w:r>
              <w:t>OPERATING PROFIT / EBIT (Margin: 24.2%)</w:t>
            </w:r>
          </w:p>
        </w:tc>
        <w:tc>
          <w:tcPr>
            <w:tcW w:type="dxa" w:w="2880"/>
          </w:tcPr>
          <w:p>
            <w:r>
              <w:t>2,350,000</w:t>
            </w:r>
          </w:p>
        </w:tc>
        <w:tc>
          <w:tcPr>
            <w:tcW w:type="dxa" w:w="2880"/>
          </w:tcPr>
          <w:p>
            <w:r>
              <w:t>3,384,000</w:t>
            </w:r>
          </w:p>
        </w:tc>
      </w:tr>
      <w:tr>
        <w:tc>
          <w:tcPr>
            <w:tcW w:type="dxa" w:w="2880"/>
          </w:tcPr>
          <w:p>
            <w:r>
              <w:t>Non-Permissible Conventional Interest Income</w:t>
            </w:r>
          </w:p>
        </w:tc>
        <w:tc>
          <w:tcPr>
            <w:tcW w:type="dxa" w:w="2880"/>
          </w:tcPr>
          <w:p>
            <w:r>
              <w:t>14,200</w:t>
            </w:r>
          </w:p>
        </w:tc>
        <w:tc>
          <w:tcPr>
            <w:tcW w:type="dxa" w:w="2880"/>
          </w:tcPr>
          <w:p>
            <w:r>
              <w:t>16,781</w:t>
            </w:r>
          </w:p>
        </w:tc>
      </w:tr>
      <w:tr>
        <w:tc>
          <w:tcPr>
            <w:tcW w:type="dxa" w:w="2880"/>
          </w:tcPr>
          <w:p>
            <w:r>
              <w:t>Finance Expenses (Conventional Term Loans)</w:t>
            </w:r>
          </w:p>
        </w:tc>
        <w:tc>
          <w:tcPr>
            <w:tcW w:type="dxa" w:w="2880"/>
          </w:tcPr>
          <w:p>
            <w:r>
              <w:t>(544,200)</w:t>
            </w:r>
          </w:p>
        </w:tc>
        <w:tc>
          <w:tcPr>
            <w:tcW w:type="dxa" w:w="2880"/>
          </w:tcPr>
          <w:p>
            <w:r>
              <w:t>(1,250,781)</w:t>
            </w:r>
          </w:p>
        </w:tc>
      </w:tr>
      <w:tr>
        <w:tc>
          <w:tcPr>
            <w:tcW w:type="dxa" w:w="2880"/>
          </w:tcPr>
          <w:p>
            <w:r>
              <w:t>NET PROFIT FOR THE YEAR</w:t>
            </w:r>
          </w:p>
        </w:tc>
        <w:tc>
          <w:tcPr>
            <w:tcW w:type="dxa" w:w="2880"/>
          </w:tcPr>
          <w:p>
            <w:r>
              <w:t>1,820,000</w:t>
            </w:r>
          </w:p>
        </w:tc>
        <w:tc>
          <w:tcPr>
            <w:tcW w:type="dxa" w:w="2880"/>
          </w:tcPr>
          <w:p>
            <w:r>
              <w:t>2,150,000</w:t>
            </w:r>
          </w:p>
        </w:tc>
      </w:tr>
    </w:tbl>
    <w:p>
      <w:pPr>
        <w:pStyle w:val="Heading1"/>
      </w:pPr>
      <w:r>
        <w:t>4. Note 14: Non-Permissible Income &amp; Purification Disclosure</w:t>
      </w:r>
    </w:p>
    <w:p>
      <w:r>
        <w:t>During FY 2025, the Company earned KWD 16,781 from short-term conventional bank deposit interest prior to migrating treasury accounts to Islamic accounts. In accordance with AAOIFI Shariah Standard No. 21 (Financial Screening Rules), non-permissible interest income represents 0.12% of total gross turnover (strictly within the 5.0% AAOIFI ceiling). A total of KWD 6,952 has been allocated for Taharah (purification) disgorgement to Bait Al-Zakat Kuwait.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