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AL-MANAR INDUSTRIAL &amp; LOGISTICS K.S.C.C.</w:t>
      </w:r>
    </w:p>
    <w:p>
      <w:r>
        <w:t>INDEPENDENT AUDITOR REPORT &amp; CONSOLIDATED AUDITED FINANCIAL STATEMENTS</w:t>
      </w:r>
    </w:p>
    <w:p>
      <w:r>
        <w:t>For Financial Year Ended 31 December 2025 | Auditing House: KPMG Safi Al-Mutawa &amp; Partners</w:t>
      </w:r>
    </w:p>
    <w:p>
      <w:pPr>
        <w:pStyle w:val="Heading1"/>
      </w:pPr>
      <w:r>
        <w:t>1. Independent Auditor Opinion (Qualified Opinion)</w:t>
      </w:r>
    </w:p>
    <w:p>
      <w:r>
        <w:t>We have audited the consolidated financial statements of Al-Manar Industrial &amp; Logistics K.S.C.C. (the Company), comprising the statement of financial position as at 31 December 2025, and profit or loss for the year then ended.</w:t>
        <w:br/>
        <w:t>In our opinion, except for the un-purified interest income placements and unhedged conventional equity holdings detailed in Note 18, the financial statements present fairly the financial position of the Company as at 31 December 2025 in accordance with IFRS.</w:t>
      </w:r>
    </w:p>
    <w:p>
      <w:pPr>
        <w:pStyle w:val="Heading1"/>
      </w:pPr>
      <w:r>
        <w:t>2. Statement of Financial Position (Balance Sheet)</w:t>
      </w:r>
    </w:p>
    <w:tbl>
      <w:tblPr>
        <w:tblW w:type="auto" w:w="0"/>
        <w:tblLook w:firstColumn="1" w:firstRow="1" w:lastColumn="0" w:lastRow="0" w:noHBand="0" w:noVBand="1" w:val="04A0"/>
      </w:tblPr>
      <w:tblGrid>
        <w:gridCol w:w="2880"/>
        <w:gridCol w:w="2880"/>
        <w:gridCol w:w="2880"/>
      </w:tblGrid>
      <w:tr>
        <w:tc>
          <w:tcPr>
            <w:tcW w:type="dxa" w:w="2880"/>
          </w:tcPr>
          <w:p>
            <w:r>
              <w:t>Balance Sheet Line Item</w:t>
            </w:r>
          </w:p>
        </w:tc>
        <w:tc>
          <w:tcPr>
            <w:tcW w:type="dxa" w:w="2880"/>
          </w:tcPr>
          <w:p>
            <w:r>
              <w:t>FY 2024 (KWD)</w:t>
            </w:r>
          </w:p>
        </w:tc>
        <w:tc>
          <w:tcPr>
            <w:tcW w:type="dxa" w:w="2880"/>
          </w:tcPr>
          <w:p>
            <w:r>
              <w:t>FY 2025 (KWD)</w:t>
            </w:r>
          </w:p>
        </w:tc>
      </w:tr>
      <w:tr>
        <w:tc>
          <w:tcPr>
            <w:tcW w:type="dxa" w:w="2880"/>
          </w:tcPr>
          <w:p>
            <w:r>
              <w:t>Cash &amp; Short-Term Bank Deposits</w:t>
            </w:r>
          </w:p>
        </w:tc>
        <w:tc>
          <w:tcPr>
            <w:tcW w:type="dxa" w:w="2880"/>
          </w:tcPr>
          <w:p>
            <w:r>
              <w:t>2,100,000</w:t>
            </w:r>
          </w:p>
        </w:tc>
        <w:tc>
          <w:tcPr>
            <w:tcW w:type="dxa" w:w="2880"/>
          </w:tcPr>
          <w:p>
            <w:r>
              <w:t>2,450,000</w:t>
            </w:r>
          </w:p>
        </w:tc>
      </w:tr>
      <w:tr>
        <w:tc>
          <w:tcPr>
            <w:tcW w:type="dxa" w:w="2880"/>
          </w:tcPr>
          <w:p>
            <w:r>
              <w:t>Trade Receivables &amp; Logistics Ledger</w:t>
            </w:r>
          </w:p>
        </w:tc>
        <w:tc>
          <w:tcPr>
            <w:tcW w:type="dxa" w:w="2880"/>
          </w:tcPr>
          <w:p>
            <w:r>
              <w:t>3,900,000</w:t>
            </w:r>
          </w:p>
        </w:tc>
        <w:tc>
          <w:tcPr>
            <w:tcW w:type="dxa" w:w="2880"/>
          </w:tcPr>
          <w:p>
            <w:r>
              <w:t>4,250,000</w:t>
            </w:r>
          </w:p>
        </w:tc>
      </w:tr>
      <w:tr>
        <w:tc>
          <w:tcPr>
            <w:tcW w:type="dxa" w:w="2880"/>
          </w:tcPr>
          <w:p>
            <w:r>
              <w:t>Property, Heavy Equipment &amp; Plant Assets</w:t>
            </w:r>
          </w:p>
        </w:tc>
        <w:tc>
          <w:tcPr>
            <w:tcW w:type="dxa" w:w="2880"/>
          </w:tcPr>
          <w:p>
            <w:r>
              <w:t>5,200,000</w:t>
            </w:r>
          </w:p>
        </w:tc>
        <w:tc>
          <w:tcPr>
            <w:tcW w:type="dxa" w:w="2880"/>
          </w:tcPr>
          <w:p>
            <w:r>
              <w:t>5,800,000</w:t>
            </w:r>
          </w:p>
        </w:tc>
      </w:tr>
      <w:tr>
        <w:tc>
          <w:tcPr>
            <w:tcW w:type="dxa" w:w="2880"/>
          </w:tcPr>
          <w:p>
            <w:r>
              <w:t>TOTAL ASSETS</w:t>
            </w:r>
          </w:p>
        </w:tc>
        <w:tc>
          <w:tcPr>
            <w:tcW w:type="dxa" w:w="2880"/>
          </w:tcPr>
          <w:p>
            <w:r>
              <w:t>11,200,000</w:t>
            </w:r>
          </w:p>
        </w:tc>
        <w:tc>
          <w:tcPr>
            <w:tcW w:type="dxa" w:w="2880"/>
          </w:tcPr>
          <w:p>
            <w:r>
              <w:t>12,500,000</w:t>
            </w:r>
          </w:p>
        </w:tc>
      </w:tr>
      <w:tr>
        <w:tc>
          <w:tcPr>
            <w:tcW w:type="dxa" w:w="2880"/>
          </w:tcPr>
          <w:p>
            <w:r>
              <w:t>Trade Payables &amp; Vendor Credits</w:t>
            </w:r>
          </w:p>
        </w:tc>
        <w:tc>
          <w:tcPr>
            <w:tcW w:type="dxa" w:w="2880"/>
          </w:tcPr>
          <w:p>
            <w:r>
              <w:t>2,600,000</w:t>
            </w:r>
          </w:p>
        </w:tc>
        <w:tc>
          <w:tcPr>
            <w:tcW w:type="dxa" w:w="2880"/>
          </w:tcPr>
          <w:p>
            <w:r>
              <w:t>4,000,000</w:t>
            </w:r>
          </w:p>
        </w:tc>
      </w:tr>
      <w:tr>
        <w:tc>
          <w:tcPr>
            <w:tcW w:type="dxa" w:w="2880"/>
          </w:tcPr>
          <w:p>
            <w:r>
              <w:t>Conventional Interest-Bearing Debt (Term Loans)</w:t>
            </w:r>
          </w:p>
        </w:tc>
        <w:tc>
          <w:tcPr>
            <w:tcW w:type="dxa" w:w="2880"/>
          </w:tcPr>
          <w:p>
            <w:r>
              <w:t>3,800,000</w:t>
            </w:r>
          </w:p>
        </w:tc>
        <w:tc>
          <w:tcPr>
            <w:tcW w:type="dxa" w:w="2880"/>
          </w:tcPr>
          <w:p>
            <w:r>
              <w:t>3,400,000</w:t>
            </w:r>
          </w:p>
        </w:tc>
      </w:tr>
      <w:tr>
        <w:tc>
          <w:tcPr>
            <w:tcW w:type="dxa" w:w="2880"/>
          </w:tcPr>
          <w:p>
            <w:r>
              <w:t>TOTAL LIABILITIES</w:t>
            </w:r>
          </w:p>
        </w:tc>
        <w:tc>
          <w:tcPr>
            <w:tcW w:type="dxa" w:w="2880"/>
          </w:tcPr>
          <w:p>
            <w:r>
              <w:t>6,400,000</w:t>
            </w:r>
          </w:p>
        </w:tc>
        <w:tc>
          <w:tcPr>
            <w:tcW w:type="dxa" w:w="2880"/>
          </w:tcPr>
          <w:p>
            <w:r>
              <w:t>7,400,000</w:t>
            </w:r>
          </w:p>
        </w:tc>
      </w:tr>
      <w:tr>
        <w:tc>
          <w:tcPr>
            <w:tcW w:type="dxa" w:w="2880"/>
          </w:tcPr>
          <w:p>
            <w:r>
              <w:t>Share Capital &amp; Reserves</w:t>
            </w:r>
          </w:p>
        </w:tc>
        <w:tc>
          <w:tcPr>
            <w:tcW w:type="dxa" w:w="2880"/>
          </w:tcPr>
          <w:p>
            <w:r>
              <w:t>4,800,000</w:t>
            </w:r>
          </w:p>
        </w:tc>
        <w:tc>
          <w:tcPr>
            <w:tcW w:type="dxa" w:w="2880"/>
          </w:tcPr>
          <w:p>
            <w:r>
              <w:t>5,100,000</w:t>
            </w:r>
          </w:p>
        </w:tc>
      </w:tr>
      <w:tr>
        <w:tc>
          <w:tcPr>
            <w:tcW w:type="dxa" w:w="2880"/>
          </w:tcPr>
          <w:p>
            <w:r>
              <w:t>TOTAL EQUITY</w:t>
            </w:r>
          </w:p>
        </w:tc>
        <w:tc>
          <w:tcPr>
            <w:tcW w:type="dxa" w:w="2880"/>
          </w:tcPr>
          <w:p>
            <w:r>
              <w:t>4,800,000</w:t>
            </w:r>
          </w:p>
        </w:tc>
        <w:tc>
          <w:tcPr>
            <w:tcW w:type="dxa" w:w="2880"/>
          </w:tcPr>
          <w:p>
            <w:r>
              <w:t>5,100,000</w:t>
            </w:r>
          </w:p>
        </w:tc>
      </w:tr>
    </w:tbl>
    <w:p>
      <w:pPr>
        <w:pStyle w:val="Heading1"/>
      </w:pPr>
      <w:r>
        <w:t>3. Statement of Profit or Loss (Income Statement)</w:t>
      </w:r>
    </w:p>
    <w:tbl>
      <w:tblPr>
        <w:tblW w:type="auto" w:w="0"/>
        <w:tblLook w:firstColumn="1" w:firstRow="1" w:lastColumn="0" w:lastRow="0" w:noHBand="0" w:noVBand="1" w:val="04A0"/>
      </w:tblPr>
      <w:tblGrid>
        <w:gridCol w:w="2880"/>
        <w:gridCol w:w="2880"/>
        <w:gridCol w:w="2880"/>
      </w:tblGrid>
      <w:tr>
        <w:tc>
          <w:tcPr>
            <w:tcW w:type="dxa" w:w="2880"/>
          </w:tcPr>
          <w:p>
            <w:r>
              <w:t>Income Statement Line Item</w:t>
            </w:r>
          </w:p>
        </w:tc>
        <w:tc>
          <w:tcPr>
            <w:tcW w:type="dxa" w:w="2880"/>
          </w:tcPr>
          <w:p>
            <w:r>
              <w:t>FY 2024 (KWD)</w:t>
            </w:r>
          </w:p>
        </w:tc>
        <w:tc>
          <w:tcPr>
            <w:tcW w:type="dxa" w:w="2880"/>
          </w:tcPr>
          <w:p>
            <w:r>
              <w:t>FY 2025 (KWD)</w:t>
            </w:r>
          </w:p>
        </w:tc>
      </w:tr>
      <w:tr>
        <w:tc>
          <w:tcPr>
            <w:tcW w:type="dxa" w:w="2880"/>
          </w:tcPr>
          <w:p>
            <w:r>
              <w:t>Gross Operating Revenue</w:t>
            </w:r>
          </w:p>
        </w:tc>
        <w:tc>
          <w:tcPr>
            <w:tcW w:type="dxa" w:w="2880"/>
          </w:tcPr>
          <w:p>
            <w:r>
              <w:t>10,500,000</w:t>
            </w:r>
          </w:p>
        </w:tc>
        <w:tc>
          <w:tcPr>
            <w:tcW w:type="dxa" w:w="2880"/>
          </w:tcPr>
          <w:p>
            <w:r>
              <w:t>12,000,000</w:t>
            </w:r>
          </w:p>
        </w:tc>
      </w:tr>
      <w:tr>
        <w:tc>
          <w:tcPr>
            <w:tcW w:type="dxa" w:w="2880"/>
          </w:tcPr>
          <w:p>
            <w:r>
              <w:t>Direct Cost of Operations &amp; Fleet Maintenance</w:t>
            </w:r>
          </w:p>
        </w:tc>
        <w:tc>
          <w:tcPr>
            <w:tcW w:type="dxa" w:w="2880"/>
          </w:tcPr>
          <w:p>
            <w:r>
              <w:t>(7,800,000)</w:t>
            </w:r>
          </w:p>
        </w:tc>
        <w:tc>
          <w:tcPr>
            <w:tcW w:type="dxa" w:w="2880"/>
          </w:tcPr>
          <w:p>
            <w:r>
              <w:t>(8,820,000)</w:t>
            </w:r>
          </w:p>
        </w:tc>
      </w:tr>
      <w:tr>
        <w:tc>
          <w:tcPr>
            <w:tcW w:type="dxa" w:w="2880"/>
          </w:tcPr>
          <w:p>
            <w:r>
              <w:t>GROSS PROFIT (Margin: 26.5%)</w:t>
            </w:r>
          </w:p>
        </w:tc>
        <w:tc>
          <w:tcPr>
            <w:tcW w:type="dxa" w:w="2880"/>
          </w:tcPr>
          <w:p>
            <w:r>
              <w:t>2,700,000</w:t>
            </w:r>
          </w:p>
        </w:tc>
        <w:tc>
          <w:tcPr>
            <w:tcW w:type="dxa" w:w="2880"/>
          </w:tcPr>
          <w:p>
            <w:r>
              <w:t>3,180,000</w:t>
            </w:r>
          </w:p>
        </w:tc>
      </w:tr>
      <w:tr>
        <w:tc>
          <w:tcPr>
            <w:tcW w:type="dxa" w:w="2880"/>
          </w:tcPr>
          <w:p>
            <w:r>
              <w:t>Administrative &amp; General Expenses</w:t>
            </w:r>
          </w:p>
        </w:tc>
        <w:tc>
          <w:tcPr>
            <w:tcW w:type="dxa" w:w="2880"/>
          </w:tcPr>
          <w:p>
            <w:r>
              <w:t>(850,000)</w:t>
            </w:r>
          </w:p>
        </w:tc>
        <w:tc>
          <w:tcPr>
            <w:tcW w:type="dxa" w:w="2880"/>
          </w:tcPr>
          <w:p>
            <w:r>
              <w:t>(960,000)</w:t>
            </w:r>
          </w:p>
        </w:tc>
      </w:tr>
      <w:tr>
        <w:tc>
          <w:tcPr>
            <w:tcW w:type="dxa" w:w="2880"/>
          </w:tcPr>
          <w:p>
            <w:r>
              <w:t>OPERATING PROFIT / EBIT (Margin: 18.5%)</w:t>
            </w:r>
          </w:p>
        </w:tc>
        <w:tc>
          <w:tcPr>
            <w:tcW w:type="dxa" w:w="2880"/>
          </w:tcPr>
          <w:p>
            <w:r>
              <w:t>1,850,000</w:t>
            </w:r>
          </w:p>
        </w:tc>
        <w:tc>
          <w:tcPr>
            <w:tcW w:type="dxa" w:w="2880"/>
          </w:tcPr>
          <w:p>
            <w:r>
              <w:t>2,220,000</w:t>
            </w:r>
          </w:p>
        </w:tc>
      </w:tr>
      <w:tr>
        <w:tc>
          <w:tcPr>
            <w:tcW w:type="dxa" w:w="2880"/>
          </w:tcPr>
          <w:p>
            <w:r>
              <w:t>Conventional Deposit Interest Income</w:t>
            </w:r>
          </w:p>
        </w:tc>
        <w:tc>
          <w:tcPr>
            <w:tcW w:type="dxa" w:w="2880"/>
          </w:tcPr>
          <w:p>
            <w:r>
              <w:t>290,000</w:t>
            </w:r>
          </w:p>
        </w:tc>
        <w:tc>
          <w:tcPr>
            <w:tcW w:type="dxa" w:w="2880"/>
          </w:tcPr>
          <w:p>
            <w:r>
              <w:t>340,000</w:t>
            </w:r>
          </w:p>
        </w:tc>
      </w:tr>
      <w:tr>
        <w:tc>
          <w:tcPr>
            <w:tcW w:type="dxa" w:w="2880"/>
          </w:tcPr>
          <w:p>
            <w:r>
              <w:t>Un-purified Equity Investment Dividend (Conventional Reinsurance)</w:t>
            </w:r>
          </w:p>
        </w:tc>
        <w:tc>
          <w:tcPr>
            <w:tcW w:type="dxa" w:w="2880"/>
          </w:tcPr>
          <w:p>
            <w:r>
              <w:t>45,000</w:t>
            </w:r>
          </w:p>
        </w:tc>
        <w:tc>
          <w:tcPr>
            <w:tcW w:type="dxa" w:w="2880"/>
          </w:tcPr>
          <w:p>
            <w:r>
              <w:t>50,000</w:t>
            </w:r>
          </w:p>
        </w:tc>
      </w:tr>
      <w:tr>
        <w:tc>
          <w:tcPr>
            <w:tcW w:type="dxa" w:w="2880"/>
          </w:tcPr>
          <w:p>
            <w:r>
              <w:t>Finance Expenses (Conventional Interest Payments)</w:t>
            </w:r>
          </w:p>
        </w:tc>
        <w:tc>
          <w:tcPr>
            <w:tcW w:type="dxa" w:w="2880"/>
          </w:tcPr>
          <w:p>
            <w:r>
              <w:t>(620,000)</w:t>
            </w:r>
          </w:p>
        </w:tc>
        <w:tc>
          <w:tcPr>
            <w:tcW w:type="dxa" w:w="2880"/>
          </w:tcPr>
          <w:p>
            <w:r>
              <w:t>(905,000)</w:t>
            </w:r>
          </w:p>
        </w:tc>
      </w:tr>
      <w:tr>
        <w:tc>
          <w:tcPr>
            <w:tcW w:type="dxa" w:w="2880"/>
          </w:tcPr>
          <w:p>
            <w:r>
              <w:t>NET PROFIT FOR THE YEAR</w:t>
            </w:r>
          </w:p>
        </w:tc>
        <w:tc>
          <w:tcPr>
            <w:tcW w:type="dxa" w:w="2880"/>
          </w:tcPr>
          <w:p>
            <w:r>
              <w:t>1,120,000</w:t>
            </w:r>
          </w:p>
        </w:tc>
        <w:tc>
          <w:tcPr>
            <w:tcW w:type="dxa" w:w="2880"/>
          </w:tcPr>
          <w:p>
            <w:r>
              <w:t>1,350,000</w:t>
            </w:r>
          </w:p>
        </w:tc>
      </w:tr>
    </w:tbl>
    <w:p>
      <w:pPr>
        <w:pStyle w:val="Heading1"/>
      </w:pPr>
      <w:r>
        <w:t>4. Note 18: Shariah Non-Permissible Income &amp; Investment Disclosure</w:t>
      </w:r>
    </w:p>
    <w:p>
      <w:r>
        <w:t>1. Non-Permissible Interest Income: The Company earned KWD 340,000 from conventional bank deposit interest (2.83% of gross turnover). Under AAOIFI Standard No. 21, this requires mandatory Taharah disgorgement of KWD 340,000 to approved public welfare funds.</w:t>
        <w:br/>
        <w:t>2. Debt Ratio: Total interest-bearing debt of KWD 3,400,000 represents 27.2% of total assets (approaching the 30.0% AAOIFI max ceiling).</w:t>
        <w:br/>
        <w:t>3. Conventional Equity Stake: The Company holds an 8.0% equity stake in Gulf Reinsurance Co. (Valued at KWD 250,000), representing a non-compliant conventional financial holding (R5 Flag).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