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jc w:val="center"/>
      </w:pPr>
      <w:r>
        <w:rPr>
          <w:rFonts w:ascii="Times New Roman" w:cs="Times New Roman" w:eastAsia="Times New Roman" w:hAnsi="Times New Roman"/>
          <w:color w:val="444444"/>
          <w:sz w:val="24"/>
          <w:szCs w:val="24"/>
        </w:rPr>
        <w:t xml:space="preserve">Université Hassan 1er</w:t>
      </w:r>
    </w:p>
    <w:p>
      <w:pPr>
        <w:spacing w:after="80"/>
        <w:jc w:val="center"/>
      </w:pPr>
      <w:r>
        <w:rPr>
          <w:rFonts w:ascii="Times New Roman" w:cs="Times New Roman" w:eastAsia="Times New Roman" w:hAnsi="Times New Roman"/>
          <w:b/>
          <w:bCs/>
          <w:color w:val="006633"/>
          <w:sz w:val="28"/>
          <w:szCs w:val="28"/>
        </w:rPr>
        <w:t xml:space="preserve">ÉCOLE NATIONALE DE COMMERCE ET DE GESTION</w:t>
      </w:r>
    </w:p>
    <w:p>
      <w:pPr>
        <w:spacing w:after="80"/>
        <w:jc w:val="center"/>
      </w:pPr>
      <w:r>
        <w:rPr>
          <w:rFonts w:ascii="Times New Roman" w:cs="Times New Roman" w:eastAsia="Times New Roman" w:hAnsi="Times New Roman"/>
          <w:b/>
          <w:bCs/>
          <w:color w:val="006633"/>
          <w:sz w:val="28"/>
          <w:szCs w:val="28"/>
        </w:rPr>
        <w:t xml:space="preserve">DE SETTAT</w:t>
      </w:r>
    </w:p>
    <w:p>
      <w:pPr>
        <w:pBdr>
          <w:bottom w:val="single" w:color="006633" w:sz="4" w:space="1"/>
        </w:pBdr>
        <w:spacing w:before="200" w:after="200"/>
      </w:pPr>
    </w:p>
    <w:p>
      <w:pPr>
        <w:spacing w:after="60"/>
      </w:pPr>
      <w:r>
        <w:t xml:space="preserve"/>
      </w:r>
    </w:p>
    <w:p>
      <w:pPr>
        <w:spacing w:after="60"/>
      </w:pPr>
      <w:r>
        <w:t xml:space="preserve"/>
      </w:r>
    </w:p>
    <w:p>
      <w:pPr>
        <w:spacing w:after="80"/>
        <w:jc w:val="center"/>
      </w:pPr>
      <w:r>
        <w:rPr>
          <w:rFonts w:ascii="Times New Roman" w:cs="Times New Roman" w:eastAsia="Times New Roman" w:hAnsi="Times New Roman"/>
          <w:b/>
          <w:bCs/>
          <w:color w:val="004422"/>
          <w:sz w:val="32"/>
          <w:szCs w:val="32"/>
        </w:rPr>
        <w:t xml:space="preserve">COMPTE RENDU DE PROJET / TRAVAUX DIRIGÉS</w:t>
      </w:r>
    </w:p>
    <w:p>
      <w:pPr>
        <w:spacing w:after="60"/>
      </w:pPr>
      <w:r>
        <w:t xml:space="preserve"/>
      </w:r>
    </w:p>
    <w:p>
      <w:pPr>
        <w:spacing w:after="80"/>
        <w:jc w:val="center"/>
      </w:pPr>
      <w:r>
        <w:rPr>
          <w:rFonts w:ascii="Times New Roman" w:cs="Times New Roman" w:eastAsia="Times New Roman" w:hAnsi="Times New Roman"/>
          <w:b/>
          <w:bCs/>
          <w:color w:val="006633"/>
          <w:sz w:val="28"/>
          <w:szCs w:val="28"/>
        </w:rPr>
        <w:t xml:space="preserve">Algorithmes de Clustering</w:t>
      </w:r>
    </w:p>
    <w:p>
      <w:pPr>
        <w:spacing w:after="80"/>
        <w:jc w:val="center"/>
      </w:pPr>
      <w:r>
        <w:rPr>
          <w:rFonts w:ascii="Times New Roman" w:cs="Times New Roman" w:eastAsia="Times New Roman" w:hAnsi="Times New Roman"/>
          <w:i/>
          <w:iCs/>
          <w:color w:val="555555"/>
          <w:sz w:val="24"/>
          <w:szCs w:val="24"/>
        </w:rPr>
        <w:t xml:space="preserve">Étude comparative avec données réelles (scikit-learn)</w:t>
      </w:r>
    </w:p>
    <w:p>
      <w:pPr>
        <w:spacing w:after="60"/>
      </w:pPr>
      <w:r>
        <w:t xml:space="preserve"/>
      </w:r>
    </w:p>
    <w:p>
      <w:pPr>
        <w:spacing w:after="60"/>
      </w:pPr>
      <w:r>
        <w:t xml:space="preserve"/>
      </w:r>
    </w:p>
    <w:p>
      <w:pPr>
        <w:spacing w:after="6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bCs/>
                <w:color w:val="004422"/>
                <w:sz w:val="22"/>
                <w:szCs w:val="22"/>
              </w:rPr>
              <w:t xml:space="preserve">Module :</w:t>
            </w:r>
          </w:p>
        </w:tc>
        <w:tc>
          <w:tcPr>
            <w:tcW w:type="dxa" w:w="5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sz w:val="22"/>
                <w:szCs w:val="22"/>
              </w:rPr>
              <w:t xml:space="preserve">Apprentissage Automatique / Data Mining</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bCs/>
                <w:color w:val="004422"/>
                <w:sz w:val="22"/>
                <w:szCs w:val="22"/>
              </w:rPr>
              <w:t xml:space="preserve">Filière :</w:t>
            </w:r>
          </w:p>
        </w:tc>
        <w:tc>
          <w:tcPr>
            <w:tcW w:type="dxa" w:w="5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sz w:val="22"/>
                <w:szCs w:val="22"/>
              </w:rPr>
              <w:t xml:space="preserve">CAC / Commerce International / PSCM — L3 S8</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bCs/>
                <w:color w:val="004422"/>
                <w:sz w:val="22"/>
                <w:szCs w:val="22"/>
              </w:rPr>
              <w:t xml:space="preserve">Réalisé par :</w:t>
            </w:r>
          </w:p>
        </w:tc>
        <w:tc>
          <w:tcPr>
            <w:tcW w:type="dxa" w:w="5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sz w:val="22"/>
                <w:szCs w:val="22"/>
              </w:rPr>
              <w:t xml:space="preserve">NAJLAE SAOUD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bCs/>
                <w:color w:val="004422"/>
                <w:sz w:val="22"/>
                <w:szCs w:val="22"/>
              </w:rPr>
              <w:t xml:space="preserve">Encadrant :</w:t>
            </w:r>
          </w:p>
        </w:tc>
        <w:tc>
          <w:tcPr>
            <w:tcW w:type="dxa" w:w="5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sz w:val="22"/>
                <w:szCs w:val="22"/>
              </w:rPr>
              <w:t xml:space="preserve">Mr. Laghlimi</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bCs/>
                <w:color w:val="004422"/>
                <w:sz w:val="22"/>
                <w:szCs w:val="22"/>
              </w:rPr>
              <w:t xml:space="preserve">Datasets utilisés :</w:t>
            </w:r>
          </w:p>
        </w:tc>
        <w:tc>
          <w:tcPr>
            <w:tcW w:type="dxa" w:w="5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sz w:val="22"/>
                <w:szCs w:val="22"/>
              </w:rPr>
              <w:t xml:space="preserve">Iris (150×4), Wine (178×13), Digits (1797×64)</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bCs/>
                <w:color w:val="004422"/>
                <w:sz w:val="22"/>
                <w:szCs w:val="22"/>
              </w:rPr>
              <w:t xml:space="preserve">Date :</w:t>
            </w:r>
          </w:p>
        </w:tc>
        <w:tc>
          <w:tcPr>
            <w:tcW w:type="dxa" w:w="5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sz w:val="22"/>
                <w:szCs w:val="22"/>
              </w:rPr>
              <w:t xml:space="preserve">Mars 2026</w:t>
            </w:r>
          </w:p>
        </w:tc>
      </w:tr>
    </w:tbl>
    <w:p>
      <w:pPr>
        <w:spacing w:after="60"/>
      </w:pPr>
      <w:r>
        <w:t xml:space="preserve"/>
      </w:r>
    </w:p>
    <w:p>
      <w:pPr>
        <w:spacing w:after="60"/>
      </w:pPr>
      <w:r>
        <w:t xml:space="preserve"/>
      </w:r>
    </w:p>
    <w:p>
      <w:pPr>
        <w:spacing w:after="60"/>
      </w:pPr>
      <w:r>
        <w:t xml:space="preserve"/>
      </w:r>
    </w:p>
    <w:p>
      <w:pPr>
        <w:spacing w:after="60"/>
      </w:pPr>
      <w:r>
        <w:t xml:space="preserve"/>
      </w:r>
    </w:p>
    <w:p>
      <w:pPr>
        <w:pBdr>
          <w:bottom w:val="single" w:color="006633" w:sz="4" w:space="1"/>
        </w:pBdr>
        <w:spacing w:before="200" w:after="200"/>
      </w:pPr>
    </w:p>
    <w:p>
      <w:pPr>
        <w:spacing w:after="80"/>
        <w:jc w:val="center"/>
      </w:pPr>
      <w:r>
        <w:rPr>
          <w:rFonts w:ascii="Times New Roman" w:cs="Times New Roman" w:eastAsia="Times New Roman" w:hAnsi="Times New Roman"/>
          <w:b/>
          <w:bCs/>
          <w:color w:val="004422"/>
          <w:sz w:val="22"/>
          <w:szCs w:val="22"/>
        </w:rPr>
        <w:t xml:space="preserve">Année Universitaire 2024–2025</w:t>
      </w:r>
    </w:p>
    <w:p>
      <w:r>
        <w:br w:type="page"/>
      </w:r>
    </w:p>
    <w:p>
      <w:pPr>
        <w:sectPr>
          <w:pgSz w:w="11906" w:h="16838" w:orient="portrait"/>
          <w:pgMar w:top="1440" w:right="1440" w:bottom="1440" w:left="1800" w:header="708" w:footer="708" w:gutter="0"/>
          <w:pgNumType/>
          <w:docGrid w:linePitch="360"/>
        </w:sectPr>
      </w:pPr>
    </w:p>
    <w:p>
      <w:pPr>
        <w:pStyle w:val="Heading1"/>
        <w:spacing w:before="300" w:after="150"/>
      </w:pPr>
      <w:r>
        <w:rPr>
          <w:rFonts w:ascii="Times New Roman" w:cs="Times New Roman" w:eastAsia="Times New Roman" w:hAnsi="Times New Roman"/>
          <w:b/>
          <w:bCs/>
          <w:color w:val="006633"/>
          <w:sz w:val="28"/>
          <w:szCs w:val="28"/>
        </w:rPr>
        <w:t xml:space="preserve">SOMMAIRE</w:t>
      </w:r>
    </w:p>
    <w:p>
      <w:pPr>
        <w:spacing w:after="80"/>
        <w:ind w:left="0"/>
      </w:pPr>
      <w:r>
        <w:rPr>
          <w:rFonts w:ascii="Times New Roman" w:cs="Times New Roman" w:eastAsia="Times New Roman" w:hAnsi="Times New Roman"/>
          <w:sz w:val="22"/>
          <w:szCs w:val="22"/>
        </w:rPr>
        <w:t xml:space="preserve">I.  Introduction et cadre théorique</w:t>
      </w:r>
    </w:p>
    <w:p>
      <w:pPr>
        <w:spacing w:after="80"/>
        <w:ind w:left="400"/>
      </w:pPr>
      <w:r>
        <w:rPr>
          <w:rFonts w:ascii="Times New Roman" w:cs="Times New Roman" w:eastAsia="Times New Roman" w:hAnsi="Times New Roman"/>
          <w:sz w:val="22"/>
          <w:szCs w:val="22"/>
        </w:rPr>
        <w:t xml:space="preserve">I.1  Définition et enjeux du clustering</w:t>
      </w:r>
    </w:p>
    <w:p>
      <w:pPr>
        <w:spacing w:after="80"/>
        <w:ind w:left="400"/>
      </w:pPr>
      <w:r>
        <w:rPr>
          <w:rFonts w:ascii="Times New Roman" w:cs="Times New Roman" w:eastAsia="Times New Roman" w:hAnsi="Times New Roman"/>
          <w:sz w:val="22"/>
          <w:szCs w:val="22"/>
        </w:rPr>
        <w:t xml:space="preserve">I.2  Métriques d'évaluation</w:t>
      </w:r>
    </w:p>
    <w:p>
      <w:pPr>
        <w:spacing w:after="80"/>
        <w:ind w:left="400"/>
      </w:pPr>
      <w:r>
        <w:rPr>
          <w:rFonts w:ascii="Times New Roman" w:cs="Times New Roman" w:eastAsia="Times New Roman" w:hAnsi="Times New Roman"/>
          <w:sz w:val="22"/>
          <w:szCs w:val="22"/>
        </w:rPr>
        <w:t xml:space="preserve">I.3  Datasets utilisés</w:t>
      </w:r>
    </w:p>
    <w:p>
      <w:pPr>
        <w:spacing w:after="80"/>
        <w:ind w:left="400"/>
      </w:pPr>
      <w:r>
        <w:rPr>
          <w:rFonts w:ascii="Times New Roman" w:cs="Times New Roman" w:eastAsia="Times New Roman" w:hAnsi="Times New Roman"/>
          <w:sz w:val="22"/>
          <w:szCs w:val="22"/>
        </w:rPr>
        <w:t xml:space="preserve">II.  Préparation des données</w:t>
      </w:r>
    </w:p>
    <w:p>
      <w:pPr>
        <w:spacing w:after="80"/>
        <w:ind w:left="400"/>
      </w:pPr>
      <w:r>
        <w:rPr>
          <w:rFonts w:ascii="Times New Roman" w:cs="Times New Roman" w:eastAsia="Times New Roman" w:hAnsi="Times New Roman"/>
          <w:sz w:val="22"/>
          <w:szCs w:val="22"/>
        </w:rPr>
        <w:t xml:space="preserve">II.1  Normalisation et réduction dimensionnelle (PCA)</w:t>
      </w:r>
    </w:p>
    <w:p>
      <w:pPr>
        <w:spacing w:after="80"/>
        <w:ind w:left="400"/>
      </w:pPr>
      <w:r>
        <w:rPr>
          <w:rFonts w:ascii="Times New Roman" w:cs="Times New Roman" w:eastAsia="Times New Roman" w:hAnsi="Times New Roman"/>
          <w:sz w:val="22"/>
          <w:szCs w:val="22"/>
        </w:rPr>
        <w:t xml:space="preserve">III.  Algorithmes étudiés</w:t>
      </w:r>
    </w:p>
    <w:p>
      <w:pPr>
        <w:spacing w:after="80"/>
        <w:ind w:left="400"/>
      </w:pPr>
      <w:r>
        <w:rPr>
          <w:rFonts w:ascii="Times New Roman" w:cs="Times New Roman" w:eastAsia="Times New Roman" w:hAnsi="Times New Roman"/>
          <w:sz w:val="22"/>
          <w:szCs w:val="22"/>
        </w:rPr>
        <w:t xml:space="preserve">III.1  K-Means</w:t>
      </w:r>
    </w:p>
    <w:p>
      <w:pPr>
        <w:spacing w:after="80"/>
        <w:ind w:left="400"/>
      </w:pPr>
      <w:r>
        <w:rPr>
          <w:rFonts w:ascii="Times New Roman" w:cs="Times New Roman" w:eastAsia="Times New Roman" w:hAnsi="Times New Roman"/>
          <w:sz w:val="22"/>
          <w:szCs w:val="22"/>
        </w:rPr>
        <w:t xml:space="preserve">III.2  K-Medoids (PAM)</w:t>
      </w:r>
    </w:p>
    <w:p>
      <w:pPr>
        <w:spacing w:after="80"/>
        <w:ind w:left="400"/>
      </w:pPr>
      <w:r>
        <w:rPr>
          <w:rFonts w:ascii="Times New Roman" w:cs="Times New Roman" w:eastAsia="Times New Roman" w:hAnsi="Times New Roman"/>
          <w:sz w:val="22"/>
          <w:szCs w:val="22"/>
        </w:rPr>
        <w:t xml:space="preserve">III.3  K-Medians</w:t>
      </w:r>
    </w:p>
    <w:p>
      <w:pPr>
        <w:spacing w:after="80"/>
        <w:ind w:left="400"/>
      </w:pPr>
      <w:r>
        <w:rPr>
          <w:rFonts w:ascii="Times New Roman" w:cs="Times New Roman" w:eastAsia="Times New Roman" w:hAnsi="Times New Roman"/>
          <w:sz w:val="22"/>
          <w:szCs w:val="22"/>
        </w:rPr>
        <w:t xml:space="preserve">III.4  DBSCAN et HDBSCAN</w:t>
      </w:r>
    </w:p>
    <w:p>
      <w:pPr>
        <w:spacing w:after="80"/>
        <w:ind w:left="400"/>
      </w:pPr>
      <w:r>
        <w:rPr>
          <w:rFonts w:ascii="Times New Roman" w:cs="Times New Roman" w:eastAsia="Times New Roman" w:hAnsi="Times New Roman"/>
          <w:sz w:val="22"/>
          <w:szCs w:val="22"/>
        </w:rPr>
        <w:t xml:space="preserve">III.5  OPTICS</w:t>
      </w:r>
    </w:p>
    <w:p>
      <w:pPr>
        <w:spacing w:after="80"/>
        <w:ind w:left="400"/>
      </w:pPr>
      <w:r>
        <w:rPr>
          <w:rFonts w:ascii="Times New Roman" w:cs="Times New Roman" w:eastAsia="Times New Roman" w:hAnsi="Times New Roman"/>
          <w:sz w:val="22"/>
          <w:szCs w:val="22"/>
        </w:rPr>
        <w:t xml:space="preserve">III.6  Clustering Hiérarchique Agglomératif (HAC)</w:t>
      </w:r>
    </w:p>
    <w:p>
      <w:pPr>
        <w:spacing w:after="80"/>
        <w:ind w:left="400"/>
      </w:pPr>
      <w:r>
        <w:rPr>
          <w:rFonts w:ascii="Times New Roman" w:cs="Times New Roman" w:eastAsia="Times New Roman" w:hAnsi="Times New Roman"/>
          <w:sz w:val="22"/>
          <w:szCs w:val="22"/>
        </w:rPr>
        <w:t xml:space="preserve">III.7  Gaussian Mixture Models (GMM)</w:t>
      </w:r>
    </w:p>
    <w:p>
      <w:pPr>
        <w:spacing w:after="80"/>
        <w:ind w:left="400"/>
      </w:pPr>
      <w:r>
        <w:rPr>
          <w:rFonts w:ascii="Times New Roman" w:cs="Times New Roman" w:eastAsia="Times New Roman" w:hAnsi="Times New Roman"/>
          <w:sz w:val="22"/>
          <w:szCs w:val="22"/>
        </w:rPr>
        <w:t xml:space="preserve">III.8  Spectral Clustering</w:t>
      </w:r>
    </w:p>
    <w:p>
      <w:pPr>
        <w:spacing w:after="80"/>
        <w:ind w:left="400"/>
      </w:pPr>
      <w:r>
        <w:rPr>
          <w:rFonts w:ascii="Times New Roman" w:cs="Times New Roman" w:eastAsia="Times New Roman" w:hAnsi="Times New Roman"/>
          <w:sz w:val="22"/>
          <w:szCs w:val="22"/>
        </w:rPr>
        <w:t xml:space="preserve">III.9  Affinity Propagation</w:t>
      </w:r>
    </w:p>
    <w:p>
      <w:pPr>
        <w:spacing w:after="80"/>
        <w:ind w:left="400"/>
      </w:pPr>
      <w:r>
        <w:rPr>
          <w:rFonts w:ascii="Times New Roman" w:cs="Times New Roman" w:eastAsia="Times New Roman" w:hAnsi="Times New Roman"/>
          <w:sz w:val="22"/>
          <w:szCs w:val="22"/>
        </w:rPr>
        <w:t xml:space="preserve">III.10  Self-Organizing Maps (SOM)</w:t>
      </w:r>
    </w:p>
    <w:p>
      <w:pPr>
        <w:spacing w:after="80"/>
        <w:ind w:left="400"/>
      </w:pPr>
      <w:r>
        <w:rPr>
          <w:rFonts w:ascii="Times New Roman" w:cs="Times New Roman" w:eastAsia="Times New Roman" w:hAnsi="Times New Roman"/>
          <w:sz w:val="22"/>
          <w:szCs w:val="22"/>
        </w:rPr>
        <w:t xml:space="preserve">III.11  UMAP + K-Means</w:t>
      </w:r>
    </w:p>
    <w:p>
      <w:pPr>
        <w:spacing w:after="80"/>
        <w:ind w:left="400"/>
      </w:pPr>
      <w:r>
        <w:rPr>
          <w:rFonts w:ascii="Times New Roman" w:cs="Times New Roman" w:eastAsia="Times New Roman" w:hAnsi="Times New Roman"/>
          <w:sz w:val="22"/>
          <w:szCs w:val="22"/>
        </w:rPr>
        <w:t xml:space="preserve">IV.  Comparaison globale et synthèse</w:t>
      </w:r>
    </w:p>
    <w:p>
      <w:pPr>
        <w:spacing w:after="80"/>
        <w:ind w:left="0"/>
      </w:pPr>
      <w:r>
        <w:rPr>
          <w:rFonts w:ascii="Times New Roman" w:cs="Times New Roman" w:eastAsia="Times New Roman" w:hAnsi="Times New Roman"/>
          <w:sz w:val="22"/>
          <w:szCs w:val="22"/>
        </w:rPr>
        <w:t xml:space="preserve">V.  Conclusion</w:t>
      </w:r>
    </w:p>
    <w:p>
      <w:pPr>
        <w:spacing w:after="80"/>
        <w:ind w:left="400"/>
      </w:pPr>
      <w:r>
        <w:rPr>
          <w:rFonts w:ascii="Times New Roman" w:cs="Times New Roman" w:eastAsia="Times New Roman" w:hAnsi="Times New Roman"/>
          <w:sz w:val="22"/>
          <w:szCs w:val="22"/>
        </w:rPr>
        <w:t xml:space="preserve">Bibliographie / Dépendances techniques  </w:t>
      </w:r>
    </w:p>
    <w:p>
      <w:r>
        <w:br w:type="page"/>
      </w:r>
    </w:p>
    <w:p>
      <w:pPr>
        <w:pStyle w:val="Heading1"/>
        <w:spacing w:before="300" w:after="150"/>
      </w:pPr>
      <w:r>
        <w:rPr>
          <w:rFonts w:ascii="Times New Roman" w:cs="Times New Roman" w:eastAsia="Times New Roman" w:hAnsi="Times New Roman"/>
          <w:b/>
          <w:bCs/>
          <w:color w:val="006633"/>
          <w:sz w:val="28"/>
          <w:szCs w:val="28"/>
        </w:rPr>
        <w:t xml:space="preserve">I.    INTRODUCTION ET CADRE THÉORIQUE</w:t>
      </w:r>
    </w:p>
    <w:p>
      <w:pPr>
        <w:pStyle w:val="Heading2"/>
        <w:spacing w:before="240" w:after="100"/>
      </w:pPr>
      <w:r>
        <w:rPr>
          <w:rFonts w:ascii="Times New Roman" w:cs="Times New Roman" w:eastAsia="Times New Roman" w:hAnsi="Times New Roman"/>
          <w:b/>
          <w:bCs/>
          <w:color w:val="004422"/>
          <w:sz w:val="24"/>
          <w:szCs w:val="24"/>
        </w:rPr>
        <w:t xml:space="preserve">I.1   Définition et enjeux du clustering</w:t>
      </w:r>
    </w:p>
    <w:p>
      <w:pPr>
        <w:spacing w:after="100" w:line="360"/>
        <w:ind w:firstLine="360"/>
        <w:jc w:val="both"/>
      </w:pPr>
      <w:r>
        <w:rPr>
          <w:rFonts w:ascii="Times New Roman" w:cs="Times New Roman" w:eastAsia="Times New Roman" w:hAnsi="Times New Roman"/>
          <w:sz w:val="24"/>
          <w:szCs w:val="24"/>
        </w:rPr>
        <w:t xml:space="preserve">Le clustering, ou classification non supervisée, constitue l'une des techniques fondamentales de l'apprentissage automatique. Son objectif consiste à regrouper automatiquement des observations similaires sans recourir à des étiquettes prédéfinies, à la différence de la classification supervisée. Cette capacité à structurer des données non étiquetées en fait un outil particulièrement précieux dans des contextes industriels et académiques où l'annotation manuelle demeure coûteuse ou impossible.</w:t>
      </w:r>
    </w:p>
    <w:p>
      <w:pPr>
        <w:spacing w:after="100" w:line="360"/>
        <w:ind w:firstLine="360"/>
        <w:jc w:val="both"/>
      </w:pPr>
      <w:r>
        <w:rPr>
          <w:rFonts w:ascii="Times New Roman" w:cs="Times New Roman" w:eastAsia="Times New Roman" w:hAnsi="Times New Roman"/>
          <w:sz w:val="24"/>
          <w:szCs w:val="24"/>
        </w:rPr>
        <w:t xml:space="preserve">Dans le cadre du présent compte rendu, onze algorithmes de clustering ont été implémentés et comparés sur des jeux de données réels issus de la bibliothèque scikit-learn. Chaque algorithme repose sur des hypothèses et une complexité algorithmique distinctes, ce qui justifie une approche comparative rigoureuse.</w:t>
      </w:r>
    </w:p>
    <w:p>
      <w:pPr>
        <w:pStyle w:val="Heading2"/>
        <w:spacing w:before="240" w:after="100"/>
      </w:pPr>
      <w:r>
        <w:rPr>
          <w:rFonts w:ascii="Times New Roman" w:cs="Times New Roman" w:eastAsia="Times New Roman" w:hAnsi="Times New Roman"/>
          <w:b/>
          <w:bCs/>
          <w:color w:val="004422"/>
          <w:sz w:val="24"/>
          <w:szCs w:val="24"/>
        </w:rPr>
        <w:t xml:space="preserve">I.2   Métriques d'évaluation</w:t>
      </w:r>
    </w:p>
    <w:p>
      <w:pPr>
        <w:spacing w:after="100" w:line="360"/>
        <w:ind w:firstLine="360"/>
        <w:jc w:val="both"/>
      </w:pPr>
      <w:r>
        <w:rPr>
          <w:rFonts w:ascii="Times New Roman" w:cs="Times New Roman" w:eastAsia="Times New Roman" w:hAnsi="Times New Roman"/>
          <w:sz w:val="24"/>
          <w:szCs w:val="24"/>
        </w:rPr>
        <w:t xml:space="preserve">Trois indicateurs principaux ont été retenus pour évaluer la qualité des partitions obtenues :</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300"/>
      </w:tblGrid>
      <w:tr>
        <w:trPr>
          <w:tblHeader/>
        </w:trPr>
        <w:tc>
          <w:tcPr>
            <w:tcW w:type="dxa" w:w="2800"/>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Métrique</w:t>
            </w:r>
          </w:p>
        </w:tc>
        <w:tc>
          <w:tcPr>
            <w:tcW w:type="dxa" w:w="3300"/>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Description</w:t>
            </w:r>
          </w:p>
        </w:tc>
        <w:tc>
          <w:tcPr>
            <w:tcW w:type="dxa" w:w="3300"/>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Interprétation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Silhouette Score</w:t>
            </w:r>
          </w:p>
        </w:tc>
        <w:tc>
          <w:tcPr>
            <w:tcW w:type="dxa" w:w="3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Mesure la cohésion intra-cluster et la séparation inter-cluster</w:t>
            </w:r>
          </w:p>
        </w:tc>
        <w:tc>
          <w:tcPr>
            <w:tcW w:type="dxa" w:w="3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Intervalle [-1, 1] ; plus proche de 1 = meilleure partition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WCSS / Inertie</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Somme des carrés des distances aux centroïdes (K-Means)</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À minimiser ; utilisé dans la méthode du coude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BIC / AIC</w:t>
            </w:r>
          </w:p>
        </w:tc>
        <w:tc>
          <w:tcPr>
            <w:tcW w:type="dxa" w:w="3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Critères de sélection du modèle (GMM)</w:t>
            </w:r>
          </w:p>
        </w:tc>
        <w:tc>
          <w:tcPr>
            <w:tcW w:type="dxa" w:w="3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À minimiser ; pénalisent la complexité du modèle</w:t>
            </w:r>
          </w:p>
        </w:tc>
      </w:tr>
    </w:tbl>
    <w:p>
      <w:pPr>
        <w:spacing w:after="60"/>
      </w:pPr>
      <w:r>
        <w:t xml:space="preserve"/>
      </w:r>
    </w:p>
    <w:p>
      <w:pPr>
        <w:pStyle w:val="Heading2"/>
        <w:spacing w:before="240" w:after="100"/>
      </w:pPr>
      <w:r>
        <w:rPr>
          <w:rFonts w:ascii="Times New Roman" w:cs="Times New Roman" w:eastAsia="Times New Roman" w:hAnsi="Times New Roman"/>
          <w:b/>
          <w:bCs/>
          <w:color w:val="004422"/>
          <w:sz w:val="24"/>
          <w:szCs w:val="24"/>
        </w:rPr>
        <w:t xml:space="preserve">I.3   Datasets utilisés</w:t>
      </w:r>
    </w:p>
    <w:p>
      <w:pPr>
        <w:spacing w:after="100" w:line="360"/>
        <w:ind w:firstLine="360"/>
        <w:jc w:val="both"/>
      </w:pPr>
      <w:r>
        <w:rPr>
          <w:rFonts w:ascii="Times New Roman" w:cs="Times New Roman" w:eastAsia="Times New Roman" w:hAnsi="Times New Roman"/>
          <w:sz w:val="24"/>
          <w:szCs w:val="24"/>
        </w:rPr>
        <w:t xml:space="preserve">Quatre jeux de données ont été mobilisés, dont trois provenant directement du catalogue scikit-learn et un jeu de données synthétiques :</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100"/>
        <w:gridCol w:w="1100"/>
        <w:gridCol w:w="3500"/>
      </w:tblGrid>
      <w:tr>
        <w:trPr>
          <w:tblHeader/>
        </w:trPr>
        <w:tc>
          <w:tcPr>
            <w:tcW w:type="dxa" w:w="1500"/>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Dataset</w:t>
            </w:r>
          </w:p>
        </w:tc>
        <w:tc>
          <w:tcPr>
            <w:tcW w:type="dxa" w:w="1200"/>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Taille</w:t>
            </w:r>
          </w:p>
        </w:tc>
        <w:tc>
          <w:tcPr>
            <w:tcW w:type="dxa" w:w="1100"/>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Features</w:t>
            </w:r>
          </w:p>
        </w:tc>
        <w:tc>
          <w:tcPr>
            <w:tcW w:type="dxa" w:w="1100"/>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Classes</w:t>
            </w:r>
          </w:p>
        </w:tc>
        <w:tc>
          <w:tcPr>
            <w:tcW w:type="dxa" w:w="3500"/>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Algorithmes associés</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Iris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150 obs.</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4</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K-Means, K-Medoids, K-Medians, DBSCAN, OPTICS, HAC, Spectral, AP</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178 obs.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13</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GMM, SOM</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Digits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1 797 obs.</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64</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10</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UMAP + K-Means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Moons / Circles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300 obs.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DBSCAN, Spectral Clustering</w:t>
            </w:r>
          </w:p>
        </w:tc>
      </w:tr>
    </w:tbl>
    <w:p>
      <w:pPr>
        <w:spacing w:after="60"/>
      </w:pPr>
      <w:r>
        <w:t xml:space="preserve"/>
      </w:r>
    </w:p>
    <w:p>
      <w:r>
        <w:br w:type="page"/>
      </w:r>
    </w:p>
    <w:p>
      <w:pPr>
        <w:pStyle w:val="Heading1"/>
        <w:spacing w:before="300" w:after="150"/>
      </w:pPr>
      <w:r>
        <w:rPr>
          <w:rFonts w:ascii="Times New Roman" w:cs="Times New Roman" w:eastAsia="Times New Roman" w:hAnsi="Times New Roman"/>
          <w:b/>
          <w:bCs/>
          <w:color w:val="006633"/>
          <w:sz w:val="28"/>
          <w:szCs w:val="28"/>
        </w:rPr>
        <w:t xml:space="preserve">II.   PRÉPARATION DES DONNÉES</w:t>
      </w:r>
    </w:p>
    <w:p>
      <w:pPr>
        <w:pStyle w:val="Heading2"/>
        <w:spacing w:before="240" w:after="100"/>
      </w:pPr>
      <w:r>
        <w:rPr>
          <w:rFonts w:ascii="Times New Roman" w:cs="Times New Roman" w:eastAsia="Times New Roman" w:hAnsi="Times New Roman"/>
          <w:b/>
          <w:bCs/>
          <w:color w:val="004422"/>
          <w:sz w:val="24"/>
          <w:szCs w:val="24"/>
        </w:rPr>
        <w:t xml:space="preserve">II.1  Normalisation et réduction dimensionnelle</w:t>
      </w:r>
    </w:p>
    <w:p>
      <w:pPr>
        <w:spacing w:after="100" w:line="360"/>
        <w:ind w:firstLine="360"/>
        <w:jc w:val="both"/>
      </w:pPr>
      <w:r>
        <w:rPr>
          <w:rFonts w:ascii="Times New Roman" w:cs="Times New Roman" w:eastAsia="Times New Roman" w:hAnsi="Times New Roman"/>
          <w:sz w:val="24"/>
          <w:szCs w:val="24"/>
        </w:rPr>
        <w:t xml:space="preserve">Avant toute application algorithmique, une étape de prétraitement est indispensable afin de garantir la comparabilité des variables et la cohérence des calculs de distance. Deux opérations ont été réalisées systématiquement :</w:t>
      </w:r>
    </w:p>
    <w:p>
      <w:pPr>
        <w:pStyle w:val="ListParagraph"/>
        <w:numPr>
          <w:ilvl w:val="0"/>
          <w:numId w:val="2"/>
        </w:numPr>
        <w:spacing w:after="80" w:line="360"/>
      </w:pPr>
      <w:r>
        <w:rPr>
          <w:rFonts w:ascii="Times New Roman" w:cs="Times New Roman" w:eastAsia="Times New Roman" w:hAnsi="Times New Roman"/>
          <w:sz w:val="24"/>
          <w:szCs w:val="24"/>
        </w:rPr>
        <w:t xml:space="preserve">Normalisation par StandardScaler : chaque variable est ramenée à une distribution de moyenne nulle et d'écart-type unitaire, ce qui évite que les features à grande échelle dominent les calculs de distance.</w:t>
      </w:r>
    </w:p>
    <w:p>
      <w:pPr>
        <w:pStyle w:val="ListParagraph"/>
        <w:numPr>
          <w:ilvl w:val="0"/>
          <w:numId w:val="2"/>
        </w:numPr>
        <w:spacing w:after="80" w:line="360"/>
      </w:pPr>
      <w:r>
        <w:rPr>
          <w:rFonts w:ascii="Times New Roman" w:cs="Times New Roman" w:eastAsia="Times New Roman" w:hAnsi="Times New Roman"/>
          <w:sz w:val="24"/>
          <w:szCs w:val="24"/>
        </w:rPr>
        <w:t xml:space="preserve">Réduction de dimension par Analyse en Composantes Principales (PCA) vers deux dimensions, utilisée exclusivement à des fins de visualisation. Un objet PCA distinct est instancié pour chaque dataset afin d'éviter tout conflit lié aux différences de dimensionnalité (4, 13 et 64 features respectivement).</w:t>
      </w:r>
    </w:p>
    <w:p>
      <w:pPr>
        <w:spacing w:after="100" w:line="360"/>
        <w:ind w:firstLine="360"/>
        <w:jc w:val="both"/>
      </w:pPr>
      <w:r>
        <w:rPr>
          <w:rFonts w:ascii="Times New Roman" w:cs="Times New Roman" w:eastAsia="Times New Roman" w:hAnsi="Times New Roman"/>
          <w:sz w:val="24"/>
          <w:szCs w:val="24"/>
        </w:rPr>
        <w:t xml:space="preserve">Les données synthétiques (croissants de lune enchevêtrés et cercles concentriques) ont également été générées pour évaluer la capacité des algorithmes à traiter des formes non convexes, inaccessibles aux méthodes fondées sur des hypothèses de convexité.</w:t>
      </w:r>
    </w:p>
    <w:p>
      <w:r>
        <w:br w:type="page"/>
      </w:r>
    </w:p>
    <w:p>
      <w:pPr>
        <w:pStyle w:val="Heading1"/>
        <w:spacing w:before="300" w:after="150"/>
      </w:pPr>
      <w:r>
        <w:rPr>
          <w:rFonts w:ascii="Times New Roman" w:cs="Times New Roman" w:eastAsia="Times New Roman" w:hAnsi="Times New Roman"/>
          <w:b/>
          <w:bCs/>
          <w:color w:val="006633"/>
          <w:sz w:val="28"/>
          <w:szCs w:val="28"/>
        </w:rPr>
        <w:t xml:space="preserve">III.  ALGORITHMES ÉTUDIÉS</w:t>
      </w:r>
    </w:p>
    <w:p>
      <w:pPr>
        <w:pStyle w:val="Heading2"/>
        <w:spacing w:before="240" w:after="100"/>
      </w:pPr>
      <w:r>
        <w:rPr>
          <w:rFonts w:ascii="Times New Roman" w:cs="Times New Roman" w:eastAsia="Times New Roman" w:hAnsi="Times New Roman"/>
          <w:b/>
          <w:bCs/>
          <w:color w:val="004422"/>
          <w:sz w:val="24"/>
          <w:szCs w:val="24"/>
        </w:rPr>
        <w:t xml:space="preserve">III.1  K-Means</w:t>
      </w:r>
    </w:p>
    <w:p>
      <w:pPr>
        <w:spacing w:after="100" w:line="360"/>
        <w:ind w:firstLine="360"/>
        <w:jc w:val="both"/>
      </w:pPr>
      <w:r>
        <w:rPr>
          <w:rFonts w:ascii="Times New Roman" w:cs="Times New Roman" w:eastAsia="Times New Roman" w:hAnsi="Times New Roman"/>
          <w:sz w:val="24"/>
          <w:szCs w:val="24"/>
        </w:rPr>
        <w:t xml:space="preserve">K-Means constitue l'algorithme de référence du clustering par partition. Il minimise la somme des variances intra-cluster (WCSS — Within-Cluster Sum of Squares), définie formellement comme la somme des carrés des distances euclidiennes entre chaque point et le centroïde de son cluster. L'algorithme de Lloyd procède par itérations successives : initialisation aléatoire des centroïdes (méthode k-means++ par défaut), affectation de chaque point au centroïde le plus proche, puis mise à jour des centroïdes par calcul de la moyenne des points affectés.</w:t>
      </w:r>
    </w:p>
    <w:p>
      <w:pPr>
        <w:spacing w:after="100" w:line="360"/>
        <w:ind w:firstLine="360"/>
        <w:jc w:val="both"/>
      </w:pPr>
      <w:r>
        <w:rPr>
          <w:rFonts w:ascii="Times New Roman" w:cs="Times New Roman" w:eastAsia="Times New Roman" w:hAnsi="Times New Roman"/>
          <w:sz w:val="24"/>
          <w:szCs w:val="24"/>
        </w:rPr>
        <w:t xml:space="preserve">Sa complexité est en O(n × k × t × d) avec t le nombre d'itérations et d la dimensionnalité. Il repose sur l'hypothèse de clusters convexes, isotropes et de tailles comparables. La méthode du coude (Elbow Method) permet de sélectionner le nombre optimal de clusters k en identifiant l'inflexion de la courbe d'inertie.</w:t>
      </w:r>
    </w:p>
    <w:p>
      <w:pPr>
        <w:spacing w:after="100" w:line="360"/>
        <w:ind w:firstLine="360"/>
        <w:jc w:val="both"/>
      </w:pPr>
      <w:r>
        <w:rPr>
          <w:rFonts w:ascii="Times New Roman" w:cs="Times New Roman" w:eastAsia="Times New Roman" w:hAnsi="Times New Roman"/>
          <w:sz w:val="24"/>
          <w:szCs w:val="24"/>
        </w:rPr>
        <w:t xml:space="preserve">Résultats obtenus sur le dataset Iris : score de silhouette d'environ 0,46 pour k = 3, cohérent avec les trois espèces botaniques réelles.</w:t>
      </w:r>
    </w:p>
    <w:p>
      <w:pPr>
        <w:pStyle w:val="Heading2"/>
        <w:spacing w:before="240" w:after="100"/>
      </w:pPr>
      <w:r>
        <w:rPr>
          <w:rFonts w:ascii="Times New Roman" w:cs="Times New Roman" w:eastAsia="Times New Roman" w:hAnsi="Times New Roman"/>
          <w:b/>
          <w:bCs/>
          <w:color w:val="004422"/>
          <w:sz w:val="24"/>
          <w:szCs w:val="24"/>
        </w:rPr>
        <w:t xml:space="preserve">III.2  K-Medoids (PAM)</w:t>
      </w:r>
    </w:p>
    <w:p>
      <w:pPr>
        <w:spacing w:after="100" w:line="360"/>
        <w:ind w:firstLine="360"/>
        <w:jc w:val="both"/>
      </w:pPr>
      <w:r>
        <w:rPr>
          <w:rFonts w:ascii="Times New Roman" w:cs="Times New Roman" w:eastAsia="Times New Roman" w:hAnsi="Times New Roman"/>
          <w:sz w:val="24"/>
          <w:szCs w:val="24"/>
        </w:rPr>
        <w:t xml:space="preserve">K-Medoids constitue une variante robuste de K-Means dans laquelle les centroïdes sont contraints à être des points réels du dataset — les médoïdes — plutôt que des moyennes arithmétiques. La distance minimisée est la distance L1 (Manhattan). L'algorithme PAM (Partitioning Around Medoids) teste successivement tous les échanges possibles entre médoïdes et non-médoïdes, en ne conservant que ceux qui améliorent la fonction objectif.</w:t>
      </w:r>
    </w:p>
    <w:p>
      <w:pPr>
        <w:spacing w:after="100" w:line="360"/>
        <w:ind w:firstLine="360"/>
        <w:jc w:val="both"/>
      </w:pPr>
      <w:r>
        <w:rPr>
          <w:rFonts w:ascii="Times New Roman" w:cs="Times New Roman" w:eastAsia="Times New Roman" w:hAnsi="Times New Roman"/>
          <w:sz w:val="24"/>
          <w:szCs w:val="24"/>
        </w:rPr>
        <w:t xml:space="preserve">Cette approche confère à K-Medoids une robustesse supérieure face aux valeurs aberrantes, car un outlier ne peut être sélectionné comme médoïde que s'il minimise effectivement le coût global. Sa complexité O(k × (n−k)²) le rend toutefois plus coûteux que K-Means. Les résultats sur Iris sont comparables à K-Means (silhouette ≈ 0,46), ce dataset présentant peu d'outliers.</w:t>
      </w:r>
    </w:p>
    <w:p>
      <w:pPr>
        <w:pStyle w:val="Heading2"/>
        <w:spacing w:before="240" w:after="100"/>
      </w:pPr>
      <w:r>
        <w:rPr>
          <w:rFonts w:ascii="Times New Roman" w:cs="Times New Roman" w:eastAsia="Times New Roman" w:hAnsi="Times New Roman"/>
          <w:b/>
          <w:bCs/>
          <w:color w:val="004422"/>
          <w:sz w:val="24"/>
          <w:szCs w:val="24"/>
        </w:rPr>
        <w:t xml:space="preserve">III.3  K-Medians</w:t>
      </w:r>
    </w:p>
    <w:p>
      <w:pPr>
        <w:spacing w:after="100" w:line="360"/>
        <w:ind w:firstLine="360"/>
        <w:jc w:val="both"/>
      </w:pPr>
      <w:r>
        <w:rPr>
          <w:rFonts w:ascii="Times New Roman" w:cs="Times New Roman" w:eastAsia="Times New Roman" w:hAnsi="Times New Roman"/>
          <w:sz w:val="24"/>
          <w:szCs w:val="24"/>
        </w:rPr>
        <w:t xml:space="preserve">K-Medians remplace la moyenne par la médiane pour le calcul des centroïdes, ce qui renforce encore la robustesse aux outliers. Le critère minimisé est la somme des distances absolues (norme L1). Cette variante est particulièrement adaptée à des distributions asymétriques ou à des données comportant des valeurs extrêmes. Les performances sur Iris sont proches de K-Means avec un score de silhouette d'environ 0,45.</w:t>
      </w:r>
    </w:p>
    <w:p>
      <w:pPr>
        <w:pStyle w:val="Heading2"/>
        <w:spacing w:before="240" w:after="100"/>
      </w:pPr>
      <w:r>
        <w:rPr>
          <w:rFonts w:ascii="Times New Roman" w:cs="Times New Roman" w:eastAsia="Times New Roman" w:hAnsi="Times New Roman"/>
          <w:b/>
          <w:bCs/>
          <w:color w:val="004422"/>
          <w:sz w:val="24"/>
          <w:szCs w:val="24"/>
        </w:rPr>
        <w:t xml:space="preserve">III.4  DBSCAN et HDBSCAN</w:t>
      </w:r>
    </w:p>
    <w:p>
      <w:pPr>
        <w:spacing w:after="100" w:line="360"/>
        <w:ind w:firstLine="360"/>
        <w:jc w:val="both"/>
      </w:pPr>
      <w:r>
        <w:rPr>
          <w:rFonts w:ascii="Times New Roman" w:cs="Times New Roman" w:eastAsia="Times New Roman" w:hAnsi="Times New Roman"/>
          <w:sz w:val="24"/>
          <w:szCs w:val="24"/>
        </w:rPr>
        <w:t xml:space="preserve">DBSCAN (Density-Based Spatial Clustering of Applications with Noise) adopte une approche fondamentalement différente : les clusters sont définis comme des régions de haute densité séparées par des zones de faible densité. Deux hyperparamètres clés gouvernent le comportement de l'algorithme : epsilon (rayon de voisinage) et min_samples (nombre minimal de points pour former un point central). Les points isolés sont étiquetés comme bruit (label −1), ce qui constitue un avantage distinctif pour les données contenant des outliers.</w:t>
      </w:r>
    </w:p>
    <w:p>
      <w:pPr>
        <w:spacing w:after="100" w:line="360"/>
        <w:ind w:firstLine="360"/>
        <w:jc w:val="both"/>
      </w:pPr>
      <w:r>
        <w:rPr>
          <w:rFonts w:ascii="Times New Roman" w:cs="Times New Roman" w:eastAsia="Times New Roman" w:hAnsi="Times New Roman"/>
          <w:sz w:val="24"/>
          <w:szCs w:val="24"/>
        </w:rPr>
        <w:t xml:space="preserve">HDBSCAN (Hierarchical DBSCAN) étend cette approche en construisant une hiérarchie de clusters et en sélectionnant automatiquement les partitions les plus stables, sans nécessiter la spécification du paramètre epsilon. Cette flexibilité le rend particulièrement adapté aux datasets présentant des densités variables. Sur Iris, DBSCAN obtient un score de silhouette d'environ 0,50 avec détection de quelques points de bruit.</w:t>
      </w:r>
    </w:p>
    <w:p>
      <w:pPr>
        <w:pStyle w:val="Heading2"/>
        <w:spacing w:before="240" w:after="100"/>
      </w:pPr>
      <w:r>
        <w:rPr>
          <w:rFonts w:ascii="Times New Roman" w:cs="Times New Roman" w:eastAsia="Times New Roman" w:hAnsi="Times New Roman"/>
          <w:b/>
          <w:bCs/>
          <w:color w:val="004422"/>
          <w:sz w:val="24"/>
          <w:szCs w:val="24"/>
        </w:rPr>
        <w:t xml:space="preserve">III.5  OPTICS</w:t>
      </w:r>
    </w:p>
    <w:p>
      <w:pPr>
        <w:spacing w:after="100" w:line="360"/>
        <w:ind w:firstLine="360"/>
        <w:jc w:val="both"/>
      </w:pPr>
      <w:r>
        <w:rPr>
          <w:rFonts w:ascii="Times New Roman" w:cs="Times New Roman" w:eastAsia="Times New Roman" w:hAnsi="Times New Roman"/>
          <w:sz w:val="24"/>
          <w:szCs w:val="24"/>
        </w:rPr>
        <w:t xml:space="preserve">OPTICS (Ordering Points To Identify the Clustering Structure) généralise DBSCAN en produisant un ordonnancement des points selon leur densité de voisinage, représenté sous forme d'un graphe de portée (reachability plot). Contrairement à DBSCAN, il gère naturellement les clusters de densités variables et ne requiert pas le réglage précis d'epsilon. En contrepartie, l'interprétation du reachability plot nécessite une expertise analytique plus approfondie.</w:t>
      </w:r>
    </w:p>
    <w:p>
      <w:pPr>
        <w:pStyle w:val="Heading2"/>
        <w:spacing w:before="240" w:after="100"/>
      </w:pPr>
      <w:r>
        <w:rPr>
          <w:rFonts w:ascii="Times New Roman" w:cs="Times New Roman" w:eastAsia="Times New Roman" w:hAnsi="Times New Roman"/>
          <w:b/>
          <w:bCs/>
          <w:color w:val="004422"/>
          <w:sz w:val="24"/>
          <w:szCs w:val="24"/>
        </w:rPr>
        <w:t xml:space="preserve">III.6  Clustering Hiérarchique Agglomératif (HAC)</w:t>
      </w:r>
    </w:p>
    <w:p>
      <w:pPr>
        <w:spacing w:after="100" w:line="360"/>
        <w:ind w:firstLine="360"/>
        <w:jc w:val="both"/>
      </w:pPr>
      <w:r>
        <w:rPr>
          <w:rFonts w:ascii="Times New Roman" w:cs="Times New Roman" w:eastAsia="Times New Roman" w:hAnsi="Times New Roman"/>
          <w:sz w:val="24"/>
          <w:szCs w:val="24"/>
        </w:rPr>
        <w:t xml:space="preserve">L'approche hiérarchique agglomérative part d'une partition où chaque observation constitue son propre cluster, puis fusionne successivement les clusters les plus proches selon un critère de liaison (ward, complete, average, single). La méthode de Ward minimise l'augmentation de la variance totale lors de chaque fusion, ce qui produit généralement les meilleures partitions compactes. Le dendrogramme résultant permet de visualiser l'ensemble de la hiérarchie et de choisir le niveau de coupe optimal.</w:t>
      </w:r>
    </w:p>
    <w:p>
      <w:pPr>
        <w:spacing w:after="100" w:line="360"/>
        <w:ind w:firstLine="360"/>
        <w:jc w:val="both"/>
      </w:pPr>
      <w:r>
        <w:rPr>
          <w:rFonts w:ascii="Times New Roman" w:cs="Times New Roman" w:eastAsia="Times New Roman" w:hAnsi="Times New Roman"/>
          <w:sz w:val="24"/>
          <w:szCs w:val="24"/>
        </w:rPr>
        <w:t xml:space="preserve">Sur le dataset Iris, HAC avec liaison de Ward obtient le meilleur score de silhouette de l'ensemble des algorithmes comparés, avec une valeur d'environ 0,48.</w:t>
      </w:r>
    </w:p>
    <w:p>
      <w:pPr>
        <w:pStyle w:val="Heading2"/>
        <w:spacing w:before="240" w:after="100"/>
      </w:pPr>
      <w:r>
        <w:rPr>
          <w:rFonts w:ascii="Times New Roman" w:cs="Times New Roman" w:eastAsia="Times New Roman" w:hAnsi="Times New Roman"/>
          <w:b/>
          <w:bCs/>
          <w:color w:val="004422"/>
          <w:sz w:val="24"/>
          <w:szCs w:val="24"/>
        </w:rPr>
        <w:t xml:space="preserve">III.7  Gaussian Mixture Models (GMM)</w:t>
      </w:r>
    </w:p>
    <w:p>
      <w:pPr>
        <w:spacing w:after="100" w:line="360"/>
        <w:ind w:firstLine="360"/>
        <w:jc w:val="both"/>
      </w:pPr>
      <w:r>
        <w:rPr>
          <w:rFonts w:ascii="Times New Roman" w:cs="Times New Roman" w:eastAsia="Times New Roman" w:hAnsi="Times New Roman"/>
          <w:sz w:val="24"/>
          <w:szCs w:val="24"/>
        </w:rPr>
        <w:t xml:space="preserve">Les Modèles de Mélange Gaussien constituent une approche probabiliste dans laquelle les données sont modélisées comme provenant d'un mélange de K distributions gaussiennes. L'algorithme EM (Expectation-Maximization) estime itérativement les paramètres du modèle (moyennes, matrices de covariance, poids). Contrairement aux méthodes précédentes, GMM produit un clustering « mou » (soft clustering) : chaque point possède une probabilité d'appartenance à chaque cluster.</w:t>
      </w:r>
    </w:p>
    <w:p>
      <w:pPr>
        <w:spacing w:after="100" w:line="360"/>
        <w:ind w:firstLine="360"/>
        <w:jc w:val="both"/>
      </w:pPr>
      <w:r>
        <w:rPr>
          <w:rFonts w:ascii="Times New Roman" w:cs="Times New Roman" w:eastAsia="Times New Roman" w:hAnsi="Times New Roman"/>
          <w:sz w:val="24"/>
          <w:szCs w:val="24"/>
        </w:rPr>
        <w:t xml:space="preserve">Le type de matrice de covariance (full, tied, diag, spherical) contrôle la forme des clusters modélisables. Les critères BIC et AIC permettent de sélectionner le nombre optimal de composantes. Sur Iris, le score de silhouette est d'environ 0,28, ce score plus faible s'expliquant par la nature probabiliste des affectations.</w:t>
      </w:r>
    </w:p>
    <w:p>
      <w:pPr>
        <w:pStyle w:val="Heading2"/>
        <w:spacing w:before="240" w:after="100"/>
      </w:pPr>
      <w:r>
        <w:rPr>
          <w:rFonts w:ascii="Times New Roman" w:cs="Times New Roman" w:eastAsia="Times New Roman" w:hAnsi="Times New Roman"/>
          <w:b/>
          <w:bCs/>
          <w:color w:val="004422"/>
          <w:sz w:val="24"/>
          <w:szCs w:val="24"/>
        </w:rPr>
        <w:t xml:space="preserve">III.8  Spectral Clustering</w:t>
      </w:r>
    </w:p>
    <w:p>
      <w:pPr>
        <w:spacing w:after="100" w:line="360"/>
        <w:ind w:firstLine="360"/>
        <w:jc w:val="both"/>
      </w:pPr>
      <w:r>
        <w:rPr>
          <w:rFonts w:ascii="Times New Roman" w:cs="Times New Roman" w:eastAsia="Times New Roman" w:hAnsi="Times New Roman"/>
          <w:sz w:val="24"/>
          <w:szCs w:val="24"/>
        </w:rPr>
        <w:t xml:space="preserve">Le Spectral Clustering exploite les propriétés spectrales du graphe de similarité construit sur les données. En projetant les points dans un espace de faible dimension défini par les vecteurs propres du Laplacien du graphe, puis en appliquant K-Means dans cet espace transformé, il parvient à identifier des clusters de formes arbitraires, y compris non convexes. C'est notamment le cas des données en croissants de lune et cercles concentriques, que K-Means ne peut pas traiter correctement.</w:t>
      </w:r>
    </w:p>
    <w:p>
      <w:pPr>
        <w:pStyle w:val="Heading2"/>
        <w:spacing w:before="240" w:after="100"/>
      </w:pPr>
      <w:r>
        <w:rPr>
          <w:rFonts w:ascii="Times New Roman" w:cs="Times New Roman" w:eastAsia="Times New Roman" w:hAnsi="Times New Roman"/>
          <w:b/>
          <w:bCs/>
          <w:color w:val="004422"/>
          <w:sz w:val="24"/>
          <w:szCs w:val="24"/>
        </w:rPr>
        <w:t xml:space="preserve">III.9  Affinity Propagation</w:t>
      </w:r>
    </w:p>
    <w:p>
      <w:pPr>
        <w:spacing w:after="100" w:line="360"/>
        <w:ind w:firstLine="360"/>
        <w:jc w:val="both"/>
      </w:pPr>
      <w:r>
        <w:rPr>
          <w:rFonts w:ascii="Times New Roman" w:cs="Times New Roman" w:eastAsia="Times New Roman" w:hAnsi="Times New Roman"/>
          <w:sz w:val="24"/>
          <w:szCs w:val="24"/>
        </w:rPr>
        <w:t xml:space="preserve">Affinity Propagation détermine automatiquement le nombre de clusters par échange itératif de messages entre paires de points — les messages de « responsabilité » et de « disponibilité ». Les points qui servent de représentants (exemplaires) sont des points réels du dataset. Le paramètre de damping contrôle la stabilité numérique en atténuant les mises à jour. Sur Iris, l'algorithme tend à sur-segmenter avec 7 à 9 clusters détectés, ce qui peut être réduit en augmentant le paramètre de préférence.</w:t>
      </w:r>
    </w:p>
    <w:p>
      <w:pPr>
        <w:pStyle w:val="Heading2"/>
        <w:spacing w:before="240" w:after="100"/>
      </w:pPr>
      <w:r>
        <w:rPr>
          <w:rFonts w:ascii="Times New Roman" w:cs="Times New Roman" w:eastAsia="Times New Roman" w:hAnsi="Times New Roman"/>
          <w:b/>
          <w:bCs/>
          <w:color w:val="004422"/>
          <w:sz w:val="24"/>
          <w:szCs w:val="24"/>
        </w:rPr>
        <w:t xml:space="preserve">III.10  Self-Organizing Maps (SOM)</w:t>
      </w:r>
    </w:p>
    <w:p>
      <w:pPr>
        <w:spacing w:after="100" w:line="360"/>
        <w:ind w:firstLine="360"/>
        <w:jc w:val="both"/>
      </w:pPr>
      <w:r>
        <w:rPr>
          <w:rFonts w:ascii="Times New Roman" w:cs="Times New Roman" w:eastAsia="Times New Roman" w:hAnsi="Times New Roman"/>
          <w:sz w:val="24"/>
          <w:szCs w:val="24"/>
        </w:rPr>
        <w:t xml:space="preserve">Les cartes auto-organisatrices sont un modèle de réseau de neurones non supervisé qui projette les données de haute dimension sur une grille bidimensionnelle tout en préservant la topologie du voisinage. Pour chaque observation, le neurone le plus proche (BMU — Best Matching Unit) est identifié, puis mis à jour ainsi que ses voisins selon un taux d'apprentissage décroissant. La U-Matrix, représentant les distances entre neurones adjacents, permet de visualiser les frontières entre clusters.</w:t>
      </w:r>
    </w:p>
    <w:p>
      <w:pPr>
        <w:spacing w:after="100" w:line="360"/>
        <w:ind w:firstLine="360"/>
        <w:jc w:val="both"/>
      </w:pPr>
      <w:r>
        <w:rPr>
          <w:rFonts w:ascii="Times New Roman" w:cs="Times New Roman" w:eastAsia="Times New Roman" w:hAnsi="Times New Roman"/>
          <w:sz w:val="24"/>
          <w:szCs w:val="24"/>
        </w:rPr>
        <w:t xml:space="preserve">Appliqué au dataset Wine (grille 7×7, 1 000 itérations), le SOM révèle clairement trois régions correspondant aux trois types de vin, avec des frontières sombres bien délimitées dans la U-Matrix.</w:t>
      </w:r>
    </w:p>
    <w:p>
      <w:pPr>
        <w:pStyle w:val="Heading2"/>
        <w:spacing w:before="240" w:after="100"/>
      </w:pPr>
      <w:r>
        <w:rPr>
          <w:rFonts w:ascii="Times New Roman" w:cs="Times New Roman" w:eastAsia="Times New Roman" w:hAnsi="Times New Roman"/>
          <w:b/>
          <w:bCs/>
          <w:color w:val="004422"/>
          <w:sz w:val="24"/>
          <w:szCs w:val="24"/>
        </w:rPr>
        <w:t xml:space="preserve">III.11  UMAP + K-Means</w:t>
      </w:r>
    </w:p>
    <w:p>
      <w:pPr>
        <w:spacing w:after="100" w:line="360"/>
        <w:ind w:firstLine="360"/>
        <w:jc w:val="both"/>
      </w:pPr>
      <w:r>
        <w:rPr>
          <w:rFonts w:ascii="Times New Roman" w:cs="Times New Roman" w:eastAsia="Times New Roman" w:hAnsi="Times New Roman"/>
          <w:sz w:val="24"/>
          <w:szCs w:val="24"/>
        </w:rPr>
        <w:t xml:space="preserve">UMAP (Uniform Manifold Approximation and Projection) est un algorithme de réduction dimensionnelle non linéaire qui, contrairement à PCA, préserve à la fois la structure locale et globale des données. Fondé sur la théorie des catégories et la géométrie riemannienne, il construit une représentation par graphe flou en haute dimension puis en optimise une représentation fidèle en basse dimension. Il se montre nettement plus rapide que t-SNE sur de grands datasets.</w:t>
      </w:r>
    </w:p>
    <w:p>
      <w:pPr>
        <w:spacing w:after="100" w:line="360"/>
        <w:ind w:firstLine="360"/>
        <w:jc w:val="both"/>
      </w:pPr>
      <w:r>
        <w:rPr>
          <w:rFonts w:ascii="Times New Roman" w:cs="Times New Roman" w:eastAsia="Times New Roman" w:hAnsi="Times New Roman"/>
          <w:sz w:val="24"/>
          <w:szCs w:val="24"/>
        </w:rPr>
        <w:t xml:space="preserve">Le pipeline retenu consiste à réduire les 64 dimensions du dataset Digits vers 2 dimensions par UMAP, puis à appliquer K-Means dans cet espace plus séparable. Le gain en séparabilité est spectaculaire : le score de silhouette passe d'environ 0,15–0,20 dans l'espace original (64D) à 0,60–0,70 dans l'espace UMAP (2D), illustrant l'importance du prétraitement dimensionnel pour les données de haute dimension.</w:t>
      </w:r>
    </w:p>
    <w:p>
      <w:r>
        <w:br w:type="page"/>
      </w:r>
    </w:p>
    <w:p>
      <w:pPr>
        <w:pStyle w:val="Heading1"/>
        <w:spacing w:before="300" w:after="150"/>
      </w:pPr>
      <w:r>
        <w:rPr>
          <w:rFonts w:ascii="Times New Roman" w:cs="Times New Roman" w:eastAsia="Times New Roman" w:hAnsi="Times New Roman"/>
          <w:b/>
          <w:bCs/>
          <w:color w:val="006633"/>
          <w:sz w:val="28"/>
          <w:szCs w:val="28"/>
        </w:rPr>
        <w:t xml:space="preserve">IV.   COMPARAISON GLOBALE ET SYNTHÈSE</w:t>
      </w:r>
    </w:p>
    <w:p>
      <w:pPr>
        <w:pStyle w:val="Heading2"/>
        <w:spacing w:before="240" w:after="100"/>
      </w:pPr>
      <w:r>
        <w:rPr>
          <w:rFonts w:ascii="Times New Roman" w:cs="Times New Roman" w:eastAsia="Times New Roman" w:hAnsi="Times New Roman"/>
          <w:b/>
          <w:bCs/>
          <w:color w:val="004422"/>
          <w:sz w:val="24"/>
          <w:szCs w:val="24"/>
        </w:rPr>
        <w:t xml:space="preserve">IV.1  Tableau récapitulatif (Dataset Iris normalisé)</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3000"/>
      </w:tblGrid>
      <w:tr>
        <w:trPr>
          <w:tblHeader/>
        </w:trPr>
        <w:tc>
          <w:tcPr>
            <w:tcW w:type="dxa" w:w="2000"/>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Algorithme</w:t>
            </w:r>
          </w:p>
        </w:tc>
        <w:tc>
          <w:tcPr>
            <w:tcW w:type="dxa" w:w="1200"/>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k détecté</w:t>
            </w:r>
          </w:p>
        </w:tc>
        <w:tc>
          <w:tcPr>
            <w:tcW w:type="dxa" w:w="1200"/>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Bruit</w:t>
            </w:r>
          </w:p>
        </w:tc>
        <w:tc>
          <w:tcPr>
            <w:tcW w:type="dxa" w:w="1200"/>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Silhouette</w:t>
            </w:r>
          </w:p>
        </w:tc>
        <w:tc>
          <w:tcPr>
            <w:tcW w:type="dxa" w:w="3000"/>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Remarque principale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K-Means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~0,46</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Référence — clusters sphériques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K-Medians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~0,45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Robustesse aux outliers (norme L1)</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HAC Ward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~0,48</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Meilleur score de silhouette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GMM full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~0,28</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Clustering probabiliste (soft)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Spectral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~0,45</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Adapté aux formes non convexes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DBSCAN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~5 pts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~0,50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Détection native du bruit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OPTICS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2–3</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variable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~0,40</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Densités variables, sans ε fixe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Affinity Prop.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7–9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~0,45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k automatique, tend à sur-segmenter</w:t>
            </w:r>
          </w:p>
        </w:tc>
      </w:tr>
    </w:tbl>
    <w:p>
      <w:pPr>
        <w:spacing w:after="60"/>
      </w:pPr>
      <w:r>
        <w:t xml:space="preserve"/>
      </w:r>
    </w:p>
    <w:p>
      <w:pPr>
        <w:pStyle w:val="Heading2"/>
        <w:spacing w:before="240" w:after="100"/>
      </w:pPr>
      <w:r>
        <w:rPr>
          <w:rFonts w:ascii="Times New Roman" w:cs="Times New Roman" w:eastAsia="Times New Roman" w:hAnsi="Times New Roman"/>
          <w:b/>
          <w:bCs/>
          <w:color w:val="004422"/>
          <w:sz w:val="24"/>
          <w:szCs w:val="24"/>
        </w:rPr>
        <w:t xml:space="preserve">IV.2  Guide de sélection algorithmique</w:t>
      </w:r>
    </w:p>
    <w:p>
      <w:pPr>
        <w:spacing w:after="100" w:line="360"/>
        <w:ind w:firstLine="360"/>
        <w:jc w:val="both"/>
      </w:pPr>
      <w:r>
        <w:rPr>
          <w:rFonts w:ascii="Times New Roman" w:cs="Times New Roman" w:eastAsia="Times New Roman" w:hAnsi="Times New Roman"/>
          <w:sz w:val="24"/>
          <w:szCs w:val="24"/>
        </w:rPr>
        <w:t xml:space="preserve">Le choix d'un algorithme de clustering dépend de plusieurs facteurs contextuels : connaissance a priori du nombre de clusters, forme attendue des groupes, tolérance au bruit et contraintes computationnelles. Le tableau suivant synthétise les recommandations issues de cette étude comparative :</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0"/>
        <w:gridCol w:w="4400"/>
      </w:tblGrid>
      <w:tr>
        <w:trPr>
          <w:tblHeader/>
        </w:trPr>
        <w:tc>
          <w:tcPr>
            <w:tcW w:type="dxa" w:w="5000"/>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Situation</w:t>
            </w:r>
          </w:p>
        </w:tc>
        <w:tc>
          <w:tcPr>
            <w:tcW w:type="dxa" w:w="4400"/>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Algorithme recommandé</w:t>
            </w:r>
          </w:p>
        </w:tc>
      </w:tr>
      <w:tr>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k connu, clusters sphériques et isotropes</w:t>
            </w:r>
          </w:p>
        </w:tc>
        <w:tc>
          <w:tcPr>
            <w:tcW w:type="dxa" w:w="4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K-Means</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k connu, présence d'outliers avérée</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K-Medoids ou K-Medians</w:t>
            </w:r>
          </w:p>
        </w:tc>
      </w:tr>
      <w:tr>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k connu, clusters de forme elliptique</w:t>
            </w:r>
          </w:p>
        </w:tc>
        <w:tc>
          <w:tcPr>
            <w:tcW w:type="dxa" w:w="4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Gaussian Mixture Models (GMM)</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k connu, formes non convexes</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Spectral Clustering</w:t>
            </w:r>
          </w:p>
        </w:tc>
      </w:tr>
      <w:tr>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k inconnu, détection de bruit requise</w:t>
            </w:r>
          </w:p>
        </w:tc>
        <w:tc>
          <w:tcPr>
            <w:tcW w:type="dxa" w:w="4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DBSCAN / HDBSCAN</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k inconnu, densités hétérogènes</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OPTICS / HDBSCAN</w:t>
            </w:r>
          </w:p>
        </w:tc>
      </w:tr>
      <w:tr>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k inconnu, sans contrainte particulière</w:t>
            </w:r>
          </w:p>
        </w:tc>
        <w:tc>
          <w:tcPr>
            <w:tcW w:type="dxa" w:w="4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Affinity Propagation</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Haute dimension + besoin de visualisation</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UMAP + K-Means</w:t>
            </w:r>
          </w:p>
        </w:tc>
      </w:tr>
      <w:tr>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Données catégorielles ou métriques mixtes</w:t>
            </w:r>
          </w:p>
        </w:tc>
        <w:tc>
          <w:tcPr>
            <w:tcW w:type="dxa" w:w="4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K-Medoids</w:t>
            </w:r>
          </w:p>
        </w:tc>
      </w:tr>
    </w:tbl>
    <w:p>
      <w:pPr>
        <w:spacing w:after="60"/>
      </w:pPr>
      <w:r>
        <w:t xml:space="preserve"/>
      </w:r>
    </w:p>
    <w:p>
      <w:r>
        <w:br w:type="page"/>
      </w:r>
    </w:p>
    <w:p>
      <w:pPr>
        <w:pStyle w:val="Heading1"/>
        <w:spacing w:before="300" w:after="150"/>
      </w:pPr>
      <w:r>
        <w:rPr>
          <w:rFonts w:ascii="Times New Roman" w:cs="Times New Roman" w:eastAsia="Times New Roman" w:hAnsi="Times New Roman"/>
          <w:b/>
          <w:bCs/>
          <w:color w:val="006633"/>
          <w:sz w:val="28"/>
          <w:szCs w:val="28"/>
        </w:rPr>
        <w:t xml:space="preserve">V.    CONCLUSION</w:t>
      </w:r>
    </w:p>
    <w:p>
      <w:pPr>
        <w:spacing w:after="100" w:line="360"/>
        <w:ind w:firstLine="360"/>
        <w:jc w:val="both"/>
      </w:pPr>
      <w:r>
        <w:rPr>
          <w:rFonts w:ascii="Times New Roman" w:cs="Times New Roman" w:eastAsia="Times New Roman" w:hAnsi="Times New Roman"/>
          <w:sz w:val="24"/>
          <w:szCs w:val="24"/>
        </w:rPr>
        <w:t xml:space="preserve">Ce compte rendu a permis d'explorer de manière systématique onze algorithmes de clustering, couvrant les principales familles de méthodes non supervisées : partitionnement, densité, hiérarchie, modèles probabilistes, méthodes spectrales et réseaux de neurones. Chaque algorithme a été évalué sur des jeux de données réels de complexité croissante, permettant d'objectiver leurs forces et leurs limites respectives.</w:t>
      </w:r>
    </w:p>
    <w:p>
      <w:pPr>
        <w:spacing w:after="100" w:line="360"/>
        <w:ind w:firstLine="360"/>
        <w:jc w:val="both"/>
      </w:pPr>
      <w:r>
        <w:rPr>
          <w:rFonts w:ascii="Times New Roman" w:cs="Times New Roman" w:eastAsia="Times New Roman" w:hAnsi="Times New Roman"/>
          <w:sz w:val="24"/>
          <w:szCs w:val="24"/>
        </w:rPr>
        <w:t xml:space="preserve">Il ressort de cette étude que le Clustering Hiérarchique Agglomératif avec liaison de Ward et l'algorithme DBSCAN présentent les meilleures performances sur le dataset Iris en termes de score de silhouette, tandis que le pipeline UMAP + K-Means s'impose comme la solution de référence pour les données de haute dimension.</w:t>
      </w:r>
    </w:p>
    <w:p>
      <w:pPr>
        <w:spacing w:after="100" w:line="360"/>
        <w:ind w:firstLine="360"/>
        <w:jc w:val="both"/>
      </w:pPr>
      <w:r>
        <w:rPr>
          <w:rFonts w:ascii="Times New Roman" w:cs="Times New Roman" w:eastAsia="Times New Roman" w:hAnsi="Times New Roman"/>
          <w:sz w:val="24"/>
          <w:szCs w:val="24"/>
        </w:rPr>
        <w:t xml:space="preserve">Ces travaux mettent également en évidence l'importance cruciale des étapes de prétraitement — normalisation et réduction dimensionnelle — dans la qualité des résultats obtenus. Aucun algorithme ne saurait être considéré comme universellement supérieur : le choix optimal dépend invariablement de la nature des données, des hypothèses formulables sur la structure des clusters et des contraintes applicatives.</w:t>
      </w:r>
    </w:p>
    <w:p>
      <w:pPr>
        <w:spacing w:after="100" w:line="360"/>
        <w:ind w:firstLine="360"/>
        <w:jc w:val="both"/>
      </w:pPr>
      <w:r>
        <w:rPr>
          <w:rFonts w:ascii="Times New Roman" w:cs="Times New Roman" w:eastAsia="Times New Roman" w:hAnsi="Times New Roman"/>
          <w:sz w:val="24"/>
          <w:szCs w:val="24"/>
        </w:rPr>
        <w:t xml:space="preserve">Des perspectives d'approfondissement incluent l'exploration de méthodes d'ensemble pour le clustering, l'application à des données textuelles ou temporelles, ainsi que l'intégration de critères de validation externe lorsque des étiquettes partielles sont disponibles.</w:t>
      </w:r>
    </w:p>
    <w:p>
      <w:r>
        <w:br w:type="page"/>
      </w:r>
    </w:p>
    <w:p>
      <w:pPr>
        <w:pStyle w:val="Heading1"/>
        <w:spacing w:before="300" w:after="150"/>
      </w:pPr>
      <w:r>
        <w:rPr>
          <w:rFonts w:ascii="Times New Roman" w:cs="Times New Roman" w:eastAsia="Times New Roman" w:hAnsi="Times New Roman"/>
          <w:b/>
          <w:bCs/>
          <w:color w:val="006633"/>
          <w:sz w:val="28"/>
          <w:szCs w:val="28"/>
        </w:rPr>
        <w:t xml:space="preserve">BIBLIOGRAPHIE ET DÉPENDANCES TECHNIQUES</w:t>
      </w:r>
    </w:p>
    <w:p>
      <w:pPr>
        <w:pStyle w:val="Heading2"/>
        <w:spacing w:before="240" w:after="100"/>
      </w:pPr>
      <w:r>
        <w:rPr>
          <w:rFonts w:ascii="Times New Roman" w:cs="Times New Roman" w:eastAsia="Times New Roman" w:hAnsi="Times New Roman"/>
          <w:b/>
          <w:bCs/>
          <w:color w:val="004422"/>
          <w:sz w:val="24"/>
          <w:szCs w:val="24"/>
        </w:rPr>
        <w:t xml:space="preserve">Références académiques</w:t>
      </w:r>
    </w:p>
    <w:p>
      <w:pPr>
        <w:pStyle w:val="ListParagraph"/>
        <w:numPr>
          <w:ilvl w:val="0"/>
          <w:numId w:val="2"/>
        </w:numPr>
        <w:spacing w:after="80" w:line="360"/>
      </w:pPr>
      <w:r>
        <w:rPr>
          <w:rFonts w:ascii="Times New Roman" w:cs="Times New Roman" w:eastAsia="Times New Roman" w:hAnsi="Times New Roman"/>
          <w:sz w:val="24"/>
          <w:szCs w:val="24"/>
        </w:rPr>
        <w:t xml:space="preserve">Ester, M. et al. (1996). A density-based algorithm for discovering clusters in large spatial databases. Proceedings of KDD, 96(34), 226-231.</w:t>
      </w:r>
    </w:p>
    <w:p>
      <w:pPr>
        <w:pStyle w:val="ListParagraph"/>
        <w:numPr>
          <w:ilvl w:val="0"/>
          <w:numId w:val="2"/>
        </w:numPr>
        <w:spacing w:after="80" w:line="360"/>
      </w:pPr>
      <w:r>
        <w:rPr>
          <w:rFonts w:ascii="Times New Roman" w:cs="Times New Roman" w:eastAsia="Times New Roman" w:hAnsi="Times New Roman"/>
          <w:sz w:val="24"/>
          <w:szCs w:val="24"/>
        </w:rPr>
        <w:t xml:space="preserve">Campello, R. J. G. B. et al. (2013). Density-based clustering based on hierarchical density estimates. Proceedings of PAKDD.</w:t>
      </w:r>
    </w:p>
    <w:p>
      <w:pPr>
        <w:pStyle w:val="ListParagraph"/>
        <w:numPr>
          <w:ilvl w:val="0"/>
          <w:numId w:val="2"/>
        </w:numPr>
        <w:spacing w:after="80" w:line="360"/>
      </w:pPr>
      <w:r>
        <w:rPr>
          <w:rFonts w:ascii="Times New Roman" w:cs="Times New Roman" w:eastAsia="Times New Roman" w:hAnsi="Times New Roman"/>
          <w:sz w:val="24"/>
          <w:szCs w:val="24"/>
        </w:rPr>
        <w:t xml:space="preserve">McInnes, L. et al. (2018). UMAP: Uniform Manifold Approximation and Projection for Dimension Reduction. arXiv:1802.03426.</w:t>
      </w:r>
    </w:p>
    <w:p>
      <w:pPr>
        <w:pStyle w:val="ListParagraph"/>
        <w:numPr>
          <w:ilvl w:val="0"/>
          <w:numId w:val="2"/>
        </w:numPr>
        <w:spacing w:after="80" w:line="360"/>
      </w:pPr>
      <w:r>
        <w:rPr>
          <w:rFonts w:ascii="Times New Roman" w:cs="Times New Roman" w:eastAsia="Times New Roman" w:hAnsi="Times New Roman"/>
          <w:sz w:val="24"/>
          <w:szCs w:val="24"/>
        </w:rPr>
        <w:t xml:space="preserve">Pedregosa, F. et al. (2011). Scikit-learn: Machine Learning in Python. Journal of Machine Learning Research, 12, 2825-2830.</w:t>
      </w:r>
    </w:p>
    <w:p>
      <w:pPr>
        <w:spacing w:after="60"/>
      </w:pPr>
      <w:r>
        <w:t xml:space="preserve"/>
      </w:r>
    </w:p>
    <w:p>
      <w:pPr>
        <w:pStyle w:val="Heading2"/>
        <w:spacing w:before="240" w:after="100"/>
      </w:pPr>
      <w:r>
        <w:rPr>
          <w:rFonts w:ascii="Times New Roman" w:cs="Times New Roman" w:eastAsia="Times New Roman" w:hAnsi="Times New Roman"/>
          <w:b/>
          <w:bCs/>
          <w:color w:val="004422"/>
          <w:sz w:val="24"/>
          <w:szCs w:val="24"/>
        </w:rPr>
        <w:t xml:space="preserve">Librairies Python utilisées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900"/>
      </w:tblGrid>
      <w:tr>
        <w:trPr>
          <w:tblHeader/>
        </w:trPr>
        <w:tc>
          <w:tcPr>
            <w:tcW w:type="dxa" w:w="3000"/>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Librairie</w:t>
            </w:r>
          </w:p>
        </w:tc>
        <w:tc>
          <w:tcPr>
            <w:tcW w:type="dxa" w:w="1500"/>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Version</w:t>
            </w:r>
          </w:p>
        </w:tc>
        <w:tc>
          <w:tcPr>
            <w:tcW w:type="dxa" w:w="4900"/>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Usage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scikit-learn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 1.3</w:t>
            </w:r>
          </w:p>
        </w:tc>
        <w:tc>
          <w:tcPr>
            <w:tcW w:type="dxa" w:w="4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Algorithmes principaux, datasets, métriques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scikit-learn-extra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 0.3</w:t>
            </w:r>
          </w:p>
        </w:tc>
        <w:tc>
          <w:tcPr>
            <w:tcW w:type="dxa" w:w="4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K-Medoids (PAM)</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hdbscan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 0.8</w:t>
            </w:r>
          </w:p>
        </w:tc>
        <w:tc>
          <w:tcPr>
            <w:tcW w:type="dxa" w:w="4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HDBSCAN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minisom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 2.3</w:t>
            </w:r>
          </w:p>
        </w:tc>
        <w:tc>
          <w:tcPr>
            <w:tcW w:type="dxa" w:w="4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Self-Organizing Maps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umap-learn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 0.5</w:t>
            </w:r>
          </w:p>
        </w:tc>
        <w:tc>
          <w:tcPr>
            <w:tcW w:type="dxa" w:w="4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Réduction UMAP</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numpy / scipy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 1.24</w:t>
            </w:r>
          </w:p>
        </w:tc>
        <w:tc>
          <w:tcPr>
            <w:tcW w:type="dxa" w:w="4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Calcul numérique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matplotlib</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 3.7</w:t>
            </w:r>
          </w:p>
        </w:tc>
        <w:tc>
          <w:tcPr>
            <w:tcW w:type="dxa" w:w="4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Visualisation</w:t>
            </w:r>
          </w:p>
        </w:tc>
      </w:tr>
    </w:tbl>
    <w:sectPr>
      <w:footerReference w:type="default" r:id="rId6"/>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Times New Roman" w:cs="Times New Roman" w:eastAsia="Times New Roman" w:hAnsi="Times New Roman"/>
      <w:b/>
      <w:bCs/>
      <w:color w:val="006633"/>
      <w:sz w:val="28"/>
      <w:szCs w:val="28"/>
    </w:rPr>
  </w:style>
  <w:style w:type="paragraph" w:styleId="Heading2">
    <w:name w:val="Heading 2"/>
    <w:basedOn w:val="Normal"/>
    <w:next w:val="Normal"/>
    <w:qFormat/>
    <w:pPr>
      <w:spacing w:before="240" w:after="100"/>
      <w:outlineLvl w:val="1"/>
    </w:pPr>
    <w:rPr>
      <w:rFonts w:ascii="Times New Roman" w:cs="Times New Roman" w:eastAsia="Times New Roman" w:hAnsi="Times New Roman"/>
      <w:b/>
      <w:bCs/>
      <w:color w:val="0044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2026-03-17T13:32:33.620Z</dcterms:created>
  <dcterms:modified xsi:type="dcterms:W3CDTF">2026-03-17T13:32:33.621Z</dcterms:modified>
</cp:coreProperties>
</file>

<file path=docProps/custom.xml><?xml version="1.0" encoding="utf-8"?>
<Properties xmlns="http://schemas.openxmlformats.org/officeDocument/2006/custom-properties" xmlns:vt="http://schemas.openxmlformats.org/officeDocument/2006/docPropsVTypes"/>
</file>