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888888"/>
          <w:sz w:val="20"/>
          <w:szCs w:val="20"/>
        </w:rPr>
        <w:t xml:space="preserve">Université Hassan 1er</w:t>
      </w:r>
    </w:p>
    <w:p>
      <w:pPr>
        <w:spacing w:after="40"/>
        <w:jc w:val="center"/>
      </w:pPr>
      <w:r>
        <w:rPr>
          <w:rFonts w:ascii="Calibri" w:cs="Calibri" w:eastAsia="Calibri" w:hAnsi="Calibri"/>
          <w:b/>
          <w:bCs/>
          <w:color w:val="006633"/>
          <w:sz w:val="30"/>
          <w:szCs w:val="30"/>
        </w:rPr>
        <w:t xml:space="preserve">ÉCOLE NATIONALE DE COMMERCE ET DE GESTION</w:t>
      </w:r>
    </w:p>
    <w:p>
      <w:pPr>
        <w:spacing w:after="400"/>
        <w:jc w:val="center"/>
      </w:pPr>
      <w:r>
        <w:rPr>
          <w:rFonts w:ascii="Calibri" w:cs="Calibri" w:eastAsia="Calibri" w:hAnsi="Calibri"/>
          <w:b/>
          <w:bCs/>
          <w:color w:val="006633"/>
          <w:sz w:val="30"/>
          <w:szCs w:val="30"/>
        </w:rPr>
        <w:t xml:space="preserve">DE SETTAT</w:t>
      </w:r>
    </w:p>
    <w:p>
      <w:pPr>
        <w:pBdr>
          <w:bottom w:val="single" w:color="D4A017" w:sz="10"/>
        </w:pBdr>
        <w:spacing w:after="400"/>
      </w:pPr>
      <w:r>
        <w:t xml:space="preserve"/>
      </w:r>
    </w:p>
    <w:p>
      <w:pPr>
        <w:spacing w:before="200" w:after="200"/>
        <w:jc w:val="center"/>
      </w:pPr>
      <w:r>
        <w:rPr>
          <w:rFonts w:ascii="Calibri" w:cs="Calibri" w:eastAsia="Calibri" w:hAnsi="Calibri"/>
          <w:b/>
          <w:bCs/>
          <w:color w:val="004422"/>
          <w:sz w:val="38"/>
          <w:szCs w:val="38"/>
        </w:rPr>
        <w:t xml:space="preserve">COMPTE RENDU DE PROJET</w:t>
      </w:r>
    </w:p>
    <w:p>
      <w:pPr>
        <w:pBdr>
          <w:bottom w:val="single" w:color="D4A017" w:sz="10"/>
        </w:pBdr>
        <w:spacing w:after="480"/>
      </w:pPr>
      <w:r>
        <w:t xml:space="preserve"/>
      </w:r>
    </w:p>
    <w:p>
      <w:pPr>
        <w:spacing w:before="120" w:after="80"/>
        <w:jc w:val="center"/>
      </w:pPr>
      <w:r>
        <w:rPr>
          <w:rFonts w:ascii="Calibri" w:cs="Calibri" w:eastAsia="Calibri" w:hAnsi="Calibri"/>
          <w:b/>
          <w:bCs/>
          <w:color w:val="006633"/>
          <w:sz w:val="32"/>
          <w:szCs w:val="32"/>
        </w:rPr>
        <w:t xml:space="preserve">Modélisation du Risque d'Opinion Modifiée</w:t>
      </w:r>
    </w:p>
    <w:p>
      <w:pPr>
        <w:spacing w:before="0" w:after="120"/>
        <w:jc w:val="center"/>
      </w:pPr>
      <w:r>
        <w:rPr>
          <w:rFonts w:ascii="Calibri" w:cs="Calibri" w:eastAsia="Calibri" w:hAnsi="Calibri"/>
          <w:b/>
          <w:bCs/>
          <w:color w:val="006633"/>
          <w:sz w:val="32"/>
          <w:szCs w:val="32"/>
        </w:rPr>
        <w:t xml:space="preserve">par le Machine Learning</w:t>
      </w:r>
    </w:p>
    <w:p>
      <w:pPr>
        <w:spacing w:after="600"/>
        <w:jc w:val="center"/>
      </w:pPr>
      <w:r>
        <w:rPr>
          <w:rFonts w:ascii="Calibri" w:cs="Calibri" w:eastAsia="Calibri" w:hAnsi="Calibri"/>
          <w:i/>
          <w:iCs/>
          <w:color w:val="666666"/>
          <w:sz w:val="24"/>
          <w:szCs w:val="24"/>
        </w:rPr>
        <w:t xml:space="preserve">Audit Prédictif &amp; Intelligence Artificielle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CCCCCC" w:sz="1"/>
              <w:left w:val="single" w:color="CCCCCC" w:sz="1"/>
              <w:bottom w:val="single" w:color="CCCCCC" w:sz="1"/>
              <w:right w:val="single" w:color="CCCCCC" w:sz="1"/>
            </w:tcBorders>
            <w:shd w:fill="E8F0EC" w:val="clear"/>
            <w:tcMar>
              <w:top w:type="dxa" w:w="100"/>
              <w:left w:type="dxa" w:w="150"/>
              <w:bottom w:type="dxa" w:w="100"/>
              <w:right w:type="dxa" w:w="150"/>
            </w:tcMar>
          </w:tcPr>
          <w:p>
            <w:r>
              <w:rPr>
                <w:rFonts w:ascii="Calibri" w:cs="Calibri" w:eastAsia="Calibri" w:hAnsi="Calibri"/>
                <w:b/>
                <w:bCs/>
                <w:color w:val="004422"/>
                <w:sz w:val="22"/>
                <w:szCs w:val="22"/>
              </w:rPr>
              <w:t xml:space="preserve">Module</w:t>
            </w:r>
          </w:p>
        </w:tc>
        <w:tc>
          <w:tcPr>
            <w:tcW w:type="dxa" w:w="5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sz w:val="22"/>
                <w:szCs w:val="22"/>
              </w:rPr>
              <w:t xml:space="preserve">Data Science Appliquée à l'Audit</w:t>
            </w:r>
          </w:p>
        </w:tc>
      </w:tr>
      <w:tr>
        <w:tc>
          <w:tcPr>
            <w:tcW w:type="dxa" w:w="2800"/>
            <w:tcBorders>
              <w:top w:val="single" w:color="CCCCCC" w:sz="1"/>
              <w:left w:val="single" w:color="CCCCCC" w:sz="1"/>
              <w:bottom w:val="single" w:color="CCCCCC" w:sz="1"/>
              <w:right w:val="single" w:color="CCCCCC" w:sz="1"/>
            </w:tcBorders>
            <w:shd w:fill="E8F0EC" w:val="clear"/>
            <w:tcMar>
              <w:top w:type="dxa" w:w="100"/>
              <w:left w:type="dxa" w:w="150"/>
              <w:bottom w:type="dxa" w:w="100"/>
              <w:right w:type="dxa" w:w="150"/>
            </w:tcMar>
          </w:tcPr>
          <w:p>
            <w:r>
              <w:rPr>
                <w:rFonts w:ascii="Calibri" w:cs="Calibri" w:eastAsia="Calibri" w:hAnsi="Calibri"/>
                <w:b/>
                <w:bCs/>
                <w:color w:val="004422"/>
                <w:sz w:val="22"/>
                <w:szCs w:val="22"/>
              </w:rPr>
              <w:t xml:space="preserve">Filière</w:t>
            </w:r>
          </w:p>
        </w:tc>
        <w:tc>
          <w:tcPr>
            <w:tcW w:type="dxa" w:w="5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sz w:val="22"/>
                <w:szCs w:val="22"/>
              </w:rPr>
              <w:t xml:space="preserve">CAC — Contrôle, Audit &amp; Comptabilité (L3 — S8)</w:t>
            </w:r>
          </w:p>
        </w:tc>
      </w:tr>
      <w:tr>
        <w:tc>
          <w:tcPr>
            <w:tcW w:type="dxa" w:w="2800"/>
            <w:tcBorders>
              <w:top w:val="single" w:color="CCCCCC" w:sz="1"/>
              <w:left w:val="single" w:color="CCCCCC" w:sz="1"/>
              <w:bottom w:val="single" w:color="CCCCCC" w:sz="1"/>
              <w:right w:val="single" w:color="CCCCCC" w:sz="1"/>
            </w:tcBorders>
            <w:shd w:fill="E8F0EC" w:val="clear"/>
            <w:tcMar>
              <w:top w:type="dxa" w:w="100"/>
              <w:left w:type="dxa" w:w="150"/>
              <w:bottom w:type="dxa" w:w="100"/>
              <w:right w:type="dxa" w:w="150"/>
            </w:tcMar>
          </w:tcPr>
          <w:p>
            <w:r>
              <w:rPr>
                <w:rFonts w:ascii="Calibri" w:cs="Calibri" w:eastAsia="Calibri" w:hAnsi="Calibri"/>
                <w:b/>
                <w:bCs/>
                <w:color w:val="004422"/>
                <w:sz w:val="22"/>
                <w:szCs w:val="22"/>
              </w:rPr>
              <w:t xml:space="preserve">Réalisé par</w:t>
            </w:r>
          </w:p>
        </w:tc>
        <w:tc>
          <w:tcPr>
            <w:tcW w:type="dxa" w:w="5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sz w:val="22"/>
                <w:szCs w:val="22"/>
              </w:rPr>
              <w:t xml:space="preserve">[Prénom NOM de l'étudiant]</w:t>
            </w:r>
          </w:p>
        </w:tc>
      </w:tr>
      <w:tr>
        <w:tc>
          <w:tcPr>
            <w:tcW w:type="dxa" w:w="2800"/>
            <w:tcBorders>
              <w:top w:val="single" w:color="CCCCCC" w:sz="1"/>
              <w:left w:val="single" w:color="CCCCCC" w:sz="1"/>
              <w:bottom w:val="single" w:color="CCCCCC" w:sz="1"/>
              <w:right w:val="single" w:color="CCCCCC" w:sz="1"/>
            </w:tcBorders>
            <w:shd w:fill="E8F0EC" w:val="clear"/>
            <w:tcMar>
              <w:top w:type="dxa" w:w="100"/>
              <w:left w:type="dxa" w:w="150"/>
              <w:bottom w:type="dxa" w:w="100"/>
              <w:right w:type="dxa" w:w="150"/>
            </w:tcMar>
          </w:tcPr>
          <w:p>
            <w:r>
              <w:rPr>
                <w:rFonts w:ascii="Calibri" w:cs="Calibri" w:eastAsia="Calibri" w:hAnsi="Calibri"/>
                <w:b/>
                <w:bCs/>
                <w:color w:val="004422"/>
                <w:sz w:val="22"/>
                <w:szCs w:val="22"/>
              </w:rPr>
              <w:t xml:space="preserve">Encadrant</w:t>
            </w:r>
          </w:p>
        </w:tc>
        <w:tc>
          <w:tcPr>
            <w:tcW w:type="dxa" w:w="5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sz w:val="22"/>
                <w:szCs w:val="22"/>
              </w:rPr>
              <w:t xml:space="preserve">[Titre + Prénom NOM de l'encadrant]</w:t>
            </w:r>
          </w:p>
        </w:tc>
      </w:tr>
      <w:tr>
        <w:tc>
          <w:tcPr>
            <w:tcW w:type="dxa" w:w="2800"/>
            <w:tcBorders>
              <w:top w:val="single" w:color="CCCCCC" w:sz="1"/>
              <w:left w:val="single" w:color="CCCCCC" w:sz="1"/>
              <w:bottom w:val="single" w:color="CCCCCC" w:sz="1"/>
              <w:right w:val="single" w:color="CCCCCC" w:sz="1"/>
            </w:tcBorders>
            <w:shd w:fill="E8F0EC" w:val="clear"/>
            <w:tcMar>
              <w:top w:type="dxa" w:w="100"/>
              <w:left w:type="dxa" w:w="150"/>
              <w:bottom w:type="dxa" w:w="100"/>
              <w:right w:type="dxa" w:w="150"/>
            </w:tcMar>
          </w:tcPr>
          <w:p>
            <w:r>
              <w:rPr>
                <w:rFonts w:ascii="Calibri" w:cs="Calibri" w:eastAsia="Calibri" w:hAnsi="Calibri"/>
                <w:b/>
                <w:bCs/>
                <w:color w:val="004422"/>
                <w:sz w:val="22"/>
                <w:szCs w:val="22"/>
              </w:rPr>
              <w:t xml:space="preserve">Année Universitaire</w:t>
            </w:r>
          </w:p>
        </w:tc>
        <w:tc>
          <w:tcPr>
            <w:tcW w:type="dxa" w:w="5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Calibri" w:cs="Calibri" w:eastAsia="Calibri" w:hAnsi="Calibri"/>
                <w:sz w:val="22"/>
                <w:szCs w:val="22"/>
              </w:rPr>
              <w:t xml:space="preserve">2024–2025</w:t>
            </w:r>
          </w:p>
        </w:tc>
      </w:tr>
    </w:tbl>
    <w:p>
      <w:pPr>
        <w:spacing w:before="0" w:after="0"/>
      </w:pPr>
      <w:r>
        <w:br w:type="page"/>
      </w:r>
    </w:p>
    <w:p>
      <w:pPr>
        <w:pStyle w:val="Heading1"/>
        <w:pBdr>
          <w:bottom w:val="single" w:color="006633" w:sz="4" w:space="1"/>
        </w:pBdr>
        <w:spacing w:before="360" w:after="160"/>
      </w:pPr>
      <w:r>
        <w:rPr>
          <w:rFonts w:ascii="Calibri" w:cs="Calibri" w:eastAsia="Calibri" w:hAnsi="Calibri"/>
          <w:b/>
          <w:bCs/>
          <w:color w:val="006633"/>
          <w:sz w:val="28"/>
          <w:szCs w:val="28"/>
        </w:rPr>
        <w:t xml:space="preserve">Sommaire</w:t>
      </w:r>
    </w:p>
    <w:p>
      <w:pPr>
        <w:tabs>
          <w:tab w:val="right" w:pos="8640"/>
        </w:tabs>
        <w:spacing w:before="40" w:after="40"/>
        <w:ind w:left="0"/>
      </w:pPr>
      <w:r>
        <w:rPr>
          <w:rFonts w:ascii="Calibri" w:cs="Calibri" w:eastAsia="Calibri" w:hAnsi="Calibri"/>
          <w:b/>
          <w:bCs/>
          <w:color w:val="004422"/>
          <w:sz w:val="22"/>
          <w:szCs w:val="22"/>
        </w:rPr>
        <w:t xml:space="preserve">I.  Introduction</w:t>
      </w:r>
      <w:r>
        <w:rPr>
          <w:rFonts w:ascii="Calibri" w:cs="Calibri" w:eastAsia="Calibri" w:hAnsi="Calibri"/>
          <w:color w:val="888888"/>
          <w:sz w:val="20"/>
          <w:szCs w:val="20"/>
        </w:rPr>
        <w:t xml:space="preserve">	3</w:t>
      </w:r>
    </w:p>
    <w:p>
      <w:pPr>
        <w:tabs>
          <w:tab w:val="right" w:pos="8640"/>
        </w:tabs>
        <w:spacing w:before="40" w:after="40"/>
        <w:ind w:left="360"/>
      </w:pPr>
      <w:r>
        <w:rPr>
          <w:rFonts w:ascii="Calibri" w:cs="Calibri" w:eastAsia="Calibri" w:hAnsi="Calibri"/>
          <w:b w:val="false"/>
          <w:bCs w:val="false"/>
          <w:color w:val="2C2C2C"/>
          <w:sz w:val="20"/>
          <w:szCs w:val="20"/>
        </w:rPr>
        <w:t xml:space="preserve">I.1  Contexte et problématique</w:t>
      </w:r>
      <w:r>
        <w:rPr>
          <w:rFonts w:ascii="Calibri" w:cs="Calibri" w:eastAsia="Calibri" w:hAnsi="Calibri"/>
          <w:color w:val="888888"/>
          <w:sz w:val="20"/>
          <w:szCs w:val="20"/>
        </w:rPr>
        <w:t xml:space="preserve">	3</w:t>
      </w:r>
    </w:p>
    <w:p>
      <w:pPr>
        <w:tabs>
          <w:tab w:val="right" w:pos="8640"/>
        </w:tabs>
        <w:spacing w:before="40" w:after="40"/>
        <w:ind w:left="360"/>
      </w:pPr>
      <w:r>
        <w:rPr>
          <w:rFonts w:ascii="Calibri" w:cs="Calibri" w:eastAsia="Calibri" w:hAnsi="Calibri"/>
          <w:b w:val="false"/>
          <w:bCs w:val="false"/>
          <w:color w:val="2C2C2C"/>
          <w:sz w:val="20"/>
          <w:szCs w:val="20"/>
        </w:rPr>
        <w:t xml:space="preserve">I.2  Objectifs du projet</w:t>
      </w:r>
      <w:r>
        <w:rPr>
          <w:rFonts w:ascii="Calibri" w:cs="Calibri" w:eastAsia="Calibri" w:hAnsi="Calibri"/>
          <w:color w:val="888888"/>
          <w:sz w:val="20"/>
          <w:szCs w:val="20"/>
        </w:rPr>
        <w:t xml:space="preserve">	3</w:t>
      </w:r>
    </w:p>
    <w:p>
      <w:pPr>
        <w:tabs>
          <w:tab w:val="right" w:pos="8640"/>
        </w:tabs>
        <w:spacing w:before="40" w:after="40"/>
        <w:ind w:left="360"/>
      </w:pPr>
      <w:r>
        <w:rPr>
          <w:rFonts w:ascii="Calibri" w:cs="Calibri" w:eastAsia="Calibri" w:hAnsi="Calibri"/>
          <w:b w:val="false"/>
          <w:bCs w:val="false"/>
          <w:color w:val="2C2C2C"/>
          <w:sz w:val="20"/>
          <w:szCs w:val="20"/>
        </w:rPr>
        <w:t xml:space="preserve">I.3  Méthodologie adoptée</w:t>
      </w:r>
      <w:r>
        <w:rPr>
          <w:rFonts w:ascii="Calibri" w:cs="Calibri" w:eastAsia="Calibri" w:hAnsi="Calibri"/>
          <w:color w:val="888888"/>
          <w:sz w:val="20"/>
          <w:szCs w:val="20"/>
        </w:rPr>
        <w:t xml:space="preserve">	3</w:t>
      </w:r>
    </w:p>
    <w:p>
      <w:pPr>
        <w:tabs>
          <w:tab w:val="right" w:pos="8640"/>
        </w:tabs>
        <w:spacing w:before="40" w:after="40"/>
        <w:ind w:left="0"/>
      </w:pPr>
      <w:r>
        <w:rPr>
          <w:rFonts w:ascii="Calibri" w:cs="Calibri" w:eastAsia="Calibri" w:hAnsi="Calibri"/>
          <w:b/>
          <w:bCs/>
          <w:color w:val="004422"/>
          <w:sz w:val="22"/>
          <w:szCs w:val="22"/>
        </w:rPr>
        <w:t xml:space="preserve">II.  Description des données</w:t>
      </w:r>
      <w:r>
        <w:rPr>
          <w:rFonts w:ascii="Calibri" w:cs="Calibri" w:eastAsia="Calibri" w:hAnsi="Calibri"/>
          <w:color w:val="888888"/>
          <w:sz w:val="20"/>
          <w:szCs w:val="20"/>
        </w:rPr>
        <w:t xml:space="preserve">	4</w:t>
      </w:r>
    </w:p>
    <w:p>
      <w:pPr>
        <w:tabs>
          <w:tab w:val="right" w:pos="8640"/>
        </w:tabs>
        <w:spacing w:before="40" w:after="40"/>
        <w:ind w:left="360"/>
      </w:pPr>
      <w:r>
        <w:rPr>
          <w:rFonts w:ascii="Calibri" w:cs="Calibri" w:eastAsia="Calibri" w:hAnsi="Calibri"/>
          <w:b w:val="false"/>
          <w:bCs w:val="false"/>
          <w:color w:val="2C2C2C"/>
          <w:sz w:val="20"/>
          <w:szCs w:val="20"/>
        </w:rPr>
        <w:t xml:space="preserve">II.1  Présentation des variables</w:t>
      </w:r>
      <w:r>
        <w:rPr>
          <w:rFonts w:ascii="Calibri" w:cs="Calibri" w:eastAsia="Calibri" w:hAnsi="Calibri"/>
          <w:color w:val="888888"/>
          <w:sz w:val="20"/>
          <w:szCs w:val="20"/>
        </w:rPr>
        <w:t xml:space="preserve">	4</w:t>
      </w:r>
    </w:p>
    <w:p>
      <w:pPr>
        <w:tabs>
          <w:tab w:val="right" w:pos="8640"/>
        </w:tabs>
        <w:spacing w:before="40" w:after="40"/>
        <w:ind w:left="360"/>
      </w:pPr>
      <w:r>
        <w:rPr>
          <w:rFonts w:ascii="Calibri" w:cs="Calibri" w:eastAsia="Calibri" w:hAnsi="Calibri"/>
          <w:b w:val="false"/>
          <w:bCs w:val="false"/>
          <w:color w:val="2C2C2C"/>
          <w:sz w:val="20"/>
          <w:szCs w:val="20"/>
        </w:rPr>
        <w:t xml:space="preserve">II.2  Variable cible et déséquilibre des classes</w:t>
      </w:r>
      <w:r>
        <w:rPr>
          <w:rFonts w:ascii="Calibri" w:cs="Calibri" w:eastAsia="Calibri" w:hAnsi="Calibri"/>
          <w:color w:val="888888"/>
          <w:sz w:val="20"/>
          <w:szCs w:val="20"/>
        </w:rPr>
        <w:t xml:space="preserve">	4</w:t>
      </w:r>
    </w:p>
    <w:p>
      <w:pPr>
        <w:tabs>
          <w:tab w:val="right" w:pos="8640"/>
        </w:tabs>
        <w:spacing w:before="40" w:after="40"/>
        <w:ind w:left="360"/>
      </w:pPr>
      <w:r>
        <w:rPr>
          <w:rFonts w:ascii="Calibri" w:cs="Calibri" w:eastAsia="Calibri" w:hAnsi="Calibri"/>
          <w:b w:val="false"/>
          <w:bCs w:val="false"/>
          <w:color w:val="2C2C2C"/>
          <w:sz w:val="20"/>
          <w:szCs w:val="20"/>
        </w:rPr>
        <w:t xml:space="preserve">II.3  Qualité des données</w:t>
      </w:r>
      <w:r>
        <w:rPr>
          <w:rFonts w:ascii="Calibri" w:cs="Calibri" w:eastAsia="Calibri" w:hAnsi="Calibri"/>
          <w:color w:val="888888"/>
          <w:sz w:val="20"/>
          <w:szCs w:val="20"/>
        </w:rPr>
        <w:t xml:space="preserve">	4</w:t>
      </w:r>
    </w:p>
    <w:p>
      <w:pPr>
        <w:tabs>
          <w:tab w:val="right" w:pos="8640"/>
        </w:tabs>
        <w:spacing w:before="40" w:after="40"/>
        <w:ind w:left="0"/>
      </w:pPr>
      <w:r>
        <w:rPr>
          <w:rFonts w:ascii="Calibri" w:cs="Calibri" w:eastAsia="Calibri" w:hAnsi="Calibri"/>
          <w:b/>
          <w:bCs/>
          <w:color w:val="004422"/>
          <w:sz w:val="22"/>
          <w:szCs w:val="22"/>
        </w:rPr>
        <w:t xml:space="preserve">III.  Préparation et analyse exploratoire des données</w:t>
      </w:r>
      <w:r>
        <w:rPr>
          <w:rFonts w:ascii="Calibri" w:cs="Calibri" w:eastAsia="Calibri" w:hAnsi="Calibri"/>
          <w:color w:val="888888"/>
          <w:sz w:val="20"/>
          <w:szCs w:val="20"/>
        </w:rPr>
        <w:t xml:space="preserve">	5</w:t>
      </w:r>
    </w:p>
    <w:p>
      <w:pPr>
        <w:tabs>
          <w:tab w:val="right" w:pos="8640"/>
        </w:tabs>
        <w:spacing w:before="40" w:after="40"/>
        <w:ind w:left="360"/>
      </w:pPr>
      <w:r>
        <w:rPr>
          <w:rFonts w:ascii="Calibri" w:cs="Calibri" w:eastAsia="Calibri" w:hAnsi="Calibri"/>
          <w:b w:val="false"/>
          <w:bCs w:val="false"/>
          <w:color w:val="2C2C2C"/>
          <w:sz w:val="20"/>
          <w:szCs w:val="20"/>
        </w:rPr>
        <w:t xml:space="preserve">III.1  Nettoyage et traitement des valeurs manquantes</w:t>
      </w:r>
      <w:r>
        <w:rPr>
          <w:rFonts w:ascii="Calibri" w:cs="Calibri" w:eastAsia="Calibri" w:hAnsi="Calibri"/>
          <w:color w:val="888888"/>
          <w:sz w:val="20"/>
          <w:szCs w:val="20"/>
        </w:rPr>
        <w:t xml:space="preserve">	5</w:t>
      </w:r>
    </w:p>
    <w:p>
      <w:pPr>
        <w:tabs>
          <w:tab w:val="right" w:pos="8640"/>
        </w:tabs>
        <w:spacing w:before="40" w:after="40"/>
        <w:ind w:left="360"/>
      </w:pPr>
      <w:r>
        <w:rPr>
          <w:rFonts w:ascii="Calibri" w:cs="Calibri" w:eastAsia="Calibri" w:hAnsi="Calibri"/>
          <w:b w:val="false"/>
          <w:bCs w:val="false"/>
          <w:color w:val="2C2C2C"/>
          <w:sz w:val="20"/>
          <w:szCs w:val="20"/>
        </w:rPr>
        <w:t xml:space="preserve">III.2  Normalisation et encodage</w:t>
      </w:r>
      <w:r>
        <w:rPr>
          <w:rFonts w:ascii="Calibri" w:cs="Calibri" w:eastAsia="Calibri" w:hAnsi="Calibri"/>
          <w:color w:val="888888"/>
          <w:sz w:val="20"/>
          <w:szCs w:val="20"/>
        </w:rPr>
        <w:t xml:space="preserve">	5</w:t>
      </w:r>
    </w:p>
    <w:p>
      <w:pPr>
        <w:tabs>
          <w:tab w:val="right" w:pos="8640"/>
        </w:tabs>
        <w:spacing w:before="40" w:after="40"/>
        <w:ind w:left="360"/>
      </w:pPr>
      <w:r>
        <w:rPr>
          <w:rFonts w:ascii="Calibri" w:cs="Calibri" w:eastAsia="Calibri" w:hAnsi="Calibri"/>
          <w:b w:val="false"/>
          <w:bCs w:val="false"/>
          <w:color w:val="2C2C2C"/>
          <w:sz w:val="20"/>
          <w:szCs w:val="20"/>
        </w:rPr>
        <w:t xml:space="preserve">III.3  Analyse exploratoire (EDA)</w:t>
      </w:r>
      <w:r>
        <w:rPr>
          <w:rFonts w:ascii="Calibri" w:cs="Calibri" w:eastAsia="Calibri" w:hAnsi="Calibri"/>
          <w:color w:val="888888"/>
          <w:sz w:val="20"/>
          <w:szCs w:val="20"/>
        </w:rPr>
        <w:t xml:space="preserve">	6</w:t>
      </w:r>
    </w:p>
    <w:p>
      <w:pPr>
        <w:tabs>
          <w:tab w:val="right" w:pos="8640"/>
        </w:tabs>
        <w:spacing w:before="40" w:after="40"/>
        <w:ind w:left="0"/>
      </w:pPr>
      <w:r>
        <w:rPr>
          <w:rFonts w:ascii="Calibri" w:cs="Calibri" w:eastAsia="Calibri" w:hAnsi="Calibri"/>
          <w:b/>
          <w:bCs/>
          <w:color w:val="004422"/>
          <w:sz w:val="22"/>
          <w:szCs w:val="22"/>
        </w:rPr>
        <w:t xml:space="preserve">IV.  Modélisation</w:t>
      </w:r>
      <w:r>
        <w:rPr>
          <w:rFonts w:ascii="Calibri" w:cs="Calibri" w:eastAsia="Calibri" w:hAnsi="Calibri"/>
          <w:color w:val="888888"/>
          <w:sz w:val="20"/>
          <w:szCs w:val="20"/>
        </w:rPr>
        <w:t xml:space="preserve">	7</w:t>
      </w:r>
    </w:p>
    <w:p>
      <w:pPr>
        <w:tabs>
          <w:tab w:val="right" w:pos="8640"/>
        </w:tabs>
        <w:spacing w:before="40" w:after="40"/>
        <w:ind w:left="360"/>
      </w:pPr>
      <w:r>
        <w:rPr>
          <w:rFonts w:ascii="Calibri" w:cs="Calibri" w:eastAsia="Calibri" w:hAnsi="Calibri"/>
          <w:b w:val="false"/>
          <w:bCs w:val="false"/>
          <w:color w:val="2C2C2C"/>
          <w:sz w:val="20"/>
          <w:szCs w:val="20"/>
        </w:rPr>
        <w:t xml:space="preserve">IV.1  Algorithmes retenus et justifications</w:t>
      </w:r>
      <w:r>
        <w:rPr>
          <w:rFonts w:ascii="Calibri" w:cs="Calibri" w:eastAsia="Calibri" w:hAnsi="Calibri"/>
          <w:color w:val="888888"/>
          <w:sz w:val="20"/>
          <w:szCs w:val="20"/>
        </w:rPr>
        <w:t xml:space="preserve">	7</w:t>
      </w:r>
    </w:p>
    <w:p>
      <w:pPr>
        <w:tabs>
          <w:tab w:val="right" w:pos="8640"/>
        </w:tabs>
        <w:spacing w:before="40" w:after="40"/>
        <w:ind w:left="360"/>
      </w:pPr>
      <w:r>
        <w:rPr>
          <w:rFonts w:ascii="Calibri" w:cs="Calibri" w:eastAsia="Calibri" w:hAnsi="Calibri"/>
          <w:b w:val="false"/>
          <w:bCs w:val="false"/>
          <w:color w:val="2C2C2C"/>
          <w:sz w:val="20"/>
          <w:szCs w:val="20"/>
        </w:rPr>
        <w:t xml:space="preserve">IV.2  Méthodologie de validation</w:t>
      </w:r>
      <w:r>
        <w:rPr>
          <w:rFonts w:ascii="Calibri" w:cs="Calibri" w:eastAsia="Calibri" w:hAnsi="Calibri"/>
          <w:color w:val="888888"/>
          <w:sz w:val="20"/>
          <w:szCs w:val="20"/>
        </w:rPr>
        <w:t xml:space="preserve">	7</w:t>
      </w:r>
    </w:p>
    <w:p>
      <w:pPr>
        <w:tabs>
          <w:tab w:val="right" w:pos="8640"/>
        </w:tabs>
        <w:spacing w:before="40" w:after="40"/>
        <w:ind w:left="0"/>
      </w:pPr>
      <w:r>
        <w:rPr>
          <w:rFonts w:ascii="Calibri" w:cs="Calibri" w:eastAsia="Calibri" w:hAnsi="Calibri"/>
          <w:b/>
          <w:bCs/>
          <w:color w:val="004422"/>
          <w:sz w:val="22"/>
          <w:szCs w:val="22"/>
        </w:rPr>
        <w:t xml:space="preserve">V.  Évaluation des modèles</w:t>
      </w:r>
      <w:r>
        <w:rPr>
          <w:rFonts w:ascii="Calibri" w:cs="Calibri" w:eastAsia="Calibri" w:hAnsi="Calibri"/>
          <w:color w:val="888888"/>
          <w:sz w:val="20"/>
          <w:szCs w:val="20"/>
        </w:rPr>
        <w:t xml:space="preserve">	8</w:t>
      </w:r>
    </w:p>
    <w:p>
      <w:pPr>
        <w:tabs>
          <w:tab w:val="right" w:pos="8640"/>
        </w:tabs>
        <w:spacing w:before="40" w:after="40"/>
        <w:ind w:left="360"/>
      </w:pPr>
      <w:r>
        <w:rPr>
          <w:rFonts w:ascii="Calibri" w:cs="Calibri" w:eastAsia="Calibri" w:hAnsi="Calibri"/>
          <w:b w:val="false"/>
          <w:bCs w:val="false"/>
          <w:color w:val="2C2C2C"/>
          <w:sz w:val="20"/>
          <w:szCs w:val="20"/>
        </w:rPr>
        <w:t xml:space="preserve">V.1  Résultats comparatifs</w:t>
      </w:r>
      <w:r>
        <w:rPr>
          <w:rFonts w:ascii="Calibri" w:cs="Calibri" w:eastAsia="Calibri" w:hAnsi="Calibri"/>
          <w:color w:val="888888"/>
          <w:sz w:val="20"/>
          <w:szCs w:val="20"/>
        </w:rPr>
        <w:t xml:space="preserve">	8</w:t>
      </w:r>
    </w:p>
    <w:p>
      <w:pPr>
        <w:tabs>
          <w:tab w:val="right" w:pos="8640"/>
        </w:tabs>
        <w:spacing w:before="40" w:after="40"/>
        <w:ind w:left="360"/>
      </w:pPr>
      <w:r>
        <w:rPr>
          <w:rFonts w:ascii="Calibri" w:cs="Calibri" w:eastAsia="Calibri" w:hAnsi="Calibri"/>
          <w:b w:val="false"/>
          <w:bCs w:val="false"/>
          <w:color w:val="2C2C2C"/>
          <w:sz w:val="20"/>
          <w:szCs w:val="20"/>
        </w:rPr>
        <w:t xml:space="preserve">V.2  Interprétation de la matrice de confusion</w:t>
      </w:r>
      <w:r>
        <w:rPr>
          <w:rFonts w:ascii="Calibri" w:cs="Calibri" w:eastAsia="Calibri" w:hAnsi="Calibri"/>
          <w:color w:val="888888"/>
          <w:sz w:val="20"/>
          <w:szCs w:val="20"/>
        </w:rPr>
        <w:t xml:space="preserve">	8</w:t>
      </w:r>
    </w:p>
    <w:p>
      <w:pPr>
        <w:tabs>
          <w:tab w:val="right" w:pos="8640"/>
        </w:tabs>
        <w:spacing w:before="40" w:after="40"/>
        <w:ind w:left="0"/>
      </w:pPr>
      <w:r>
        <w:rPr>
          <w:rFonts w:ascii="Calibri" w:cs="Calibri" w:eastAsia="Calibri" w:hAnsi="Calibri"/>
          <w:b/>
          <w:bCs/>
          <w:color w:val="004422"/>
          <w:sz w:val="22"/>
          <w:szCs w:val="22"/>
        </w:rPr>
        <w:t xml:space="preserve">VI.  Interprétation des résultats</w:t>
      </w:r>
      <w:r>
        <w:rPr>
          <w:rFonts w:ascii="Calibri" w:cs="Calibri" w:eastAsia="Calibri" w:hAnsi="Calibri"/>
          <w:color w:val="888888"/>
          <w:sz w:val="20"/>
          <w:szCs w:val="20"/>
        </w:rPr>
        <w:t xml:space="preserve">	9</w:t>
      </w:r>
    </w:p>
    <w:p>
      <w:pPr>
        <w:tabs>
          <w:tab w:val="right" w:pos="8640"/>
        </w:tabs>
        <w:spacing w:before="40" w:after="40"/>
        <w:ind w:left="360"/>
      </w:pPr>
      <w:r>
        <w:rPr>
          <w:rFonts w:ascii="Calibri" w:cs="Calibri" w:eastAsia="Calibri" w:hAnsi="Calibri"/>
          <w:b w:val="false"/>
          <w:bCs w:val="false"/>
          <w:color w:val="2C2C2C"/>
          <w:sz w:val="20"/>
          <w:szCs w:val="20"/>
        </w:rPr>
        <w:t xml:space="preserve">VI.1  Variables les plus importantes</w:t>
      </w:r>
      <w:r>
        <w:rPr>
          <w:rFonts w:ascii="Calibri" w:cs="Calibri" w:eastAsia="Calibri" w:hAnsi="Calibri"/>
          <w:color w:val="888888"/>
          <w:sz w:val="20"/>
          <w:szCs w:val="20"/>
        </w:rPr>
        <w:t xml:space="preserve">	9</w:t>
      </w:r>
    </w:p>
    <w:p>
      <w:pPr>
        <w:tabs>
          <w:tab w:val="right" w:pos="8640"/>
        </w:tabs>
        <w:spacing w:before="40" w:after="40"/>
        <w:ind w:left="360"/>
      </w:pPr>
      <w:r>
        <w:rPr>
          <w:rFonts w:ascii="Calibri" w:cs="Calibri" w:eastAsia="Calibri" w:hAnsi="Calibri"/>
          <w:b w:val="false"/>
          <w:bCs w:val="false"/>
          <w:color w:val="2C2C2C"/>
          <w:sz w:val="20"/>
          <w:szCs w:val="20"/>
        </w:rPr>
        <w:t xml:space="preserve">VI.2  Implications pour les auditeurs</w:t>
      </w:r>
      <w:r>
        <w:rPr>
          <w:rFonts w:ascii="Calibri" w:cs="Calibri" w:eastAsia="Calibri" w:hAnsi="Calibri"/>
          <w:color w:val="888888"/>
          <w:sz w:val="20"/>
          <w:szCs w:val="20"/>
        </w:rPr>
        <w:t xml:space="preserve">	9</w:t>
      </w:r>
    </w:p>
    <w:p>
      <w:pPr>
        <w:tabs>
          <w:tab w:val="right" w:pos="8640"/>
        </w:tabs>
        <w:spacing w:before="40" w:after="40"/>
        <w:ind w:left="0"/>
      </w:pPr>
      <w:r>
        <w:rPr>
          <w:rFonts w:ascii="Calibri" w:cs="Calibri" w:eastAsia="Calibri" w:hAnsi="Calibri"/>
          <w:b/>
          <w:bCs/>
          <w:color w:val="004422"/>
          <w:sz w:val="22"/>
          <w:szCs w:val="22"/>
        </w:rPr>
        <w:t xml:space="preserve">VII.  Conclusion et recommandations</w:t>
      </w:r>
      <w:r>
        <w:rPr>
          <w:rFonts w:ascii="Calibri" w:cs="Calibri" w:eastAsia="Calibri" w:hAnsi="Calibri"/>
          <w:color w:val="888888"/>
          <w:sz w:val="20"/>
          <w:szCs w:val="20"/>
        </w:rPr>
        <w:t xml:space="preserve">	10</w:t>
      </w:r>
    </w:p>
    <w:p>
      <w:pPr>
        <w:tabs>
          <w:tab w:val="right" w:pos="8640"/>
        </w:tabs>
        <w:spacing w:before="40" w:after="40"/>
        <w:ind w:left="360"/>
      </w:pPr>
      <w:r>
        <w:rPr>
          <w:rFonts w:ascii="Calibri" w:cs="Calibri" w:eastAsia="Calibri" w:hAnsi="Calibri"/>
          <w:b w:val="false"/>
          <w:bCs w:val="false"/>
          <w:color w:val="2C2C2C"/>
          <w:sz w:val="20"/>
          <w:szCs w:val="20"/>
        </w:rPr>
        <w:t xml:space="preserve">VII.1  Synthèse des résultats</w:t>
      </w:r>
      <w:r>
        <w:rPr>
          <w:rFonts w:ascii="Calibri" w:cs="Calibri" w:eastAsia="Calibri" w:hAnsi="Calibri"/>
          <w:color w:val="888888"/>
          <w:sz w:val="20"/>
          <w:szCs w:val="20"/>
        </w:rPr>
        <w:t xml:space="preserve">	10</w:t>
      </w:r>
    </w:p>
    <w:p>
      <w:pPr>
        <w:tabs>
          <w:tab w:val="right" w:pos="8640"/>
        </w:tabs>
        <w:spacing w:before="40" w:after="40"/>
        <w:ind w:left="360"/>
      </w:pPr>
      <w:r>
        <w:rPr>
          <w:rFonts w:ascii="Calibri" w:cs="Calibri" w:eastAsia="Calibri" w:hAnsi="Calibri"/>
          <w:b w:val="false"/>
          <w:bCs w:val="false"/>
          <w:color w:val="2C2C2C"/>
          <w:sz w:val="20"/>
          <w:szCs w:val="20"/>
        </w:rPr>
        <w:t xml:space="preserve">VII.2  Limites et perspectives</w:t>
      </w:r>
      <w:r>
        <w:rPr>
          <w:rFonts w:ascii="Calibri" w:cs="Calibri" w:eastAsia="Calibri" w:hAnsi="Calibri"/>
          <w:color w:val="888888"/>
          <w:sz w:val="20"/>
          <w:szCs w:val="20"/>
        </w:rPr>
        <w:t xml:space="preserve">	10</w:t>
      </w:r>
    </w:p>
    <w:p>
      <w:pPr>
        <w:tabs>
          <w:tab w:val="right" w:pos="8640"/>
        </w:tabs>
        <w:spacing w:before="40" w:after="40"/>
        <w:ind w:left="360"/>
      </w:pPr>
      <w:r>
        <w:rPr>
          <w:rFonts w:ascii="Calibri" w:cs="Calibri" w:eastAsia="Calibri" w:hAnsi="Calibri"/>
          <w:b w:val="false"/>
          <w:bCs w:val="false"/>
          <w:color w:val="2C2C2C"/>
          <w:sz w:val="20"/>
          <w:szCs w:val="20"/>
        </w:rPr>
        <w:t xml:space="preserve">VII.3  Recommandations stratégiques</w:t>
      </w:r>
      <w:r>
        <w:rPr>
          <w:rFonts w:ascii="Calibri" w:cs="Calibri" w:eastAsia="Calibri" w:hAnsi="Calibri"/>
          <w:color w:val="888888"/>
          <w:sz w:val="20"/>
          <w:szCs w:val="20"/>
        </w:rPr>
        <w:t xml:space="preserve">	11</w:t>
      </w:r>
    </w:p>
    <w:p>
      <w:pPr>
        <w:tabs>
          <w:tab w:val="right" w:pos="8640"/>
        </w:tabs>
        <w:spacing w:before="40" w:after="40"/>
        <w:ind w:left="360"/>
      </w:pPr>
      <w:r>
        <w:rPr>
          <w:rFonts w:ascii="Calibri" w:cs="Calibri" w:eastAsia="Calibri" w:hAnsi="Calibri"/>
          <w:b w:val="false"/>
          <w:bCs w:val="false"/>
          <w:color w:val="2C2C2C"/>
          <w:sz w:val="20"/>
          <w:szCs w:val="20"/>
        </w:rPr>
        <w:t xml:space="preserve">Bibliographie / Webographie</w:t>
      </w:r>
      <w:r>
        <w:rPr>
          <w:rFonts w:ascii="Calibri" w:cs="Calibri" w:eastAsia="Calibri" w:hAnsi="Calibri"/>
          <w:color w:val="888888"/>
          <w:sz w:val="20"/>
          <w:szCs w:val="20"/>
        </w:rPr>
        <w:t xml:space="preserve">	12</w:t>
      </w:r>
    </w:p>
    <w:p>
      <w:pPr>
        <w:spacing w:before="0" w:after="0"/>
      </w:pPr>
      <w:r>
        <w:br w:type="page"/>
      </w:r>
    </w:p>
    <w:p>
      <w:pPr>
        <w:pStyle w:val="Heading1"/>
        <w:pBdr>
          <w:bottom w:val="single" w:color="006633" w:sz="4" w:space="1"/>
        </w:pBdr>
        <w:spacing w:before="360" w:after="160"/>
      </w:pPr>
      <w:r>
        <w:rPr>
          <w:rFonts w:ascii="Calibri" w:cs="Calibri" w:eastAsia="Calibri" w:hAnsi="Calibri"/>
          <w:b/>
          <w:bCs/>
          <w:color w:val="006633"/>
          <w:sz w:val="28"/>
          <w:szCs w:val="28"/>
        </w:rPr>
        <w:t xml:space="preserve">I. Introduction</w:t>
      </w:r>
    </w:p>
    <w:p>
      <w:pPr>
        <w:pStyle w:val="Heading2"/>
        <w:spacing w:before="240" w:after="120"/>
      </w:pPr>
      <w:r>
        <w:rPr>
          <w:rFonts w:ascii="Calibri" w:cs="Calibri" w:eastAsia="Calibri" w:hAnsi="Calibri"/>
          <w:b/>
          <w:bCs/>
          <w:color w:val="004422"/>
          <w:sz w:val="24"/>
          <w:szCs w:val="24"/>
        </w:rPr>
        <w:t xml:space="preserve">I.1 Contexte et problématique</w:t>
      </w:r>
    </w:p>
    <w:p>
      <w:pPr>
        <w:spacing w:before="80" w:after="80"/>
        <w:ind w:firstLine="360"/>
        <w:jc w:val="both"/>
      </w:pPr>
      <w:r>
        <w:rPr>
          <w:rFonts w:ascii="Calibri" w:cs="Calibri" w:eastAsia="Calibri" w:hAnsi="Calibri"/>
          <w:color w:val="2C2C2C"/>
          <w:sz w:val="22"/>
          <w:szCs w:val="22"/>
        </w:rPr>
        <w:t xml:space="preserve">La mission principale du commissaire aux comptes est d'exprimer une opinion sur la régularité, la sincérité et l'image fidèle des états financiers d'une entité. À l'issue de ses travaux, l'auditeur émet un rapport certifiant les comptes purs et simples, ou formulant une opinion « modifiée » — avec réserves, impossibilité d'exprimer une opinion, ou opinion défavorable. Cette opinion modifiée constitue un signal fort adressé aux marchés, aux actionnaires et aux créanciers.</w:t>
      </w:r>
    </w:p>
    <w:p>
      <w:pPr>
        <w:spacing w:before="80" w:after="80"/>
        <w:ind w:firstLine="360"/>
        <w:jc w:val="both"/>
      </w:pPr>
      <w:r>
        <w:rPr>
          <w:rFonts w:ascii="Calibri" w:cs="Calibri" w:eastAsia="Calibri" w:hAnsi="Calibri"/>
          <w:color w:val="2C2C2C"/>
          <w:sz w:val="22"/>
          <w:szCs w:val="22"/>
        </w:rPr>
        <w:t xml:space="preserve">Dans un environnement de gestion des risques toujours plus complexe, l'anticipation d'une opinion modifiée revêt une importance capitale. Pour les cabinets d'audit, prévoir ce risque permet d'allouer plus efficacement les ressources — associés et experts techniques — sur les mandats les plus sensibles. Pour les investisseurs et les organes de gouvernance, détecter précocement les signaux faibles menant à des réserves permet d'engager des actions correctrices avant la publication du rapport final, évitant ainsi une crise de confiance.</w:t>
      </w:r>
    </w:p>
    <w:p>
      <w:pPr>
        <w:pStyle w:val="Heading2"/>
        <w:spacing w:before="240" w:after="120"/>
      </w:pPr>
      <w:r>
        <w:rPr>
          <w:rFonts w:ascii="Calibri" w:cs="Calibri" w:eastAsia="Calibri" w:hAnsi="Calibri"/>
          <w:b/>
          <w:bCs/>
          <w:color w:val="004422"/>
          <w:sz w:val="24"/>
          <w:szCs w:val="24"/>
        </w:rPr>
        <w:t xml:space="preserve">I.2 Objectifs du projet</w:t>
      </w:r>
    </w:p>
    <w:p>
      <w:pPr>
        <w:spacing w:before="80" w:after="80"/>
        <w:ind w:firstLine="360"/>
        <w:jc w:val="both"/>
      </w:pPr>
      <w:r>
        <w:rPr>
          <w:rFonts w:ascii="Calibri" w:cs="Calibri" w:eastAsia="Calibri" w:hAnsi="Calibri"/>
          <w:color w:val="2C2C2C"/>
          <w:sz w:val="22"/>
          <w:szCs w:val="22"/>
        </w:rPr>
        <w:t xml:space="preserve">Ce projet de Data Science appliquée à l'audit financier poursuit trois objectifs complémentaires : développer un modèle prédictif à partir de données financières et non financières pour identifier les entreprises à fort risque d'opinion modifiée ; quantifier l'importance relative des déterminants du risque d'audit afin de fournir un outil d'aide à la décision documenté et interprétable ; et formuler des recommandations opérationnelles à destination des directions financières et des comités d'audit.</w:t>
      </w:r>
    </w:p>
    <w:p>
      <w:pPr>
        <w:pStyle w:val="Heading2"/>
        <w:spacing w:before="240" w:after="120"/>
      </w:pPr>
      <w:r>
        <w:rPr>
          <w:rFonts w:ascii="Calibri" w:cs="Calibri" w:eastAsia="Calibri" w:hAnsi="Calibri"/>
          <w:b/>
          <w:bCs/>
          <w:color w:val="004422"/>
          <w:sz w:val="24"/>
          <w:szCs w:val="24"/>
        </w:rPr>
        <w:t xml:space="preserve">I.3 Méthodologie adoptée</w:t>
      </w:r>
    </w:p>
    <w:p>
      <w:pPr>
        <w:spacing w:before="80" w:after="80"/>
        <w:ind w:firstLine="360"/>
        <w:jc w:val="both"/>
      </w:pPr>
      <w:r>
        <w:rPr>
          <w:rFonts w:ascii="Calibri" w:cs="Calibri" w:eastAsia="Calibri" w:hAnsi="Calibri"/>
          <w:color w:val="2C2C2C"/>
          <w:sz w:val="22"/>
          <w:szCs w:val="22"/>
        </w:rPr>
        <w:t xml:space="preserve">L'approche repose sur l'exploitation combinée de données financières (ratios de rentabilité, liquidité, endettement) et non financières (gouvernance, caractéristiques de la mission, rotation des dirigeants). Trois algorithmes de Machine Learning ont été comparés selon une validation temporelle rigoureuse (Out-of-Time) garantissant la robustesse des prévisions dans le contexte réglementaire marocain et international.</w:t>
      </w:r>
    </w:p>
    <w:p>
      <w:pPr>
        <w:spacing w:before="0" w:after="0"/>
      </w:pPr>
      <w:r>
        <w:br w:type="page"/>
      </w:r>
    </w:p>
    <w:p>
      <w:pPr>
        <w:pStyle w:val="Heading1"/>
        <w:pBdr>
          <w:bottom w:val="single" w:color="006633" w:sz="4" w:space="1"/>
        </w:pBdr>
        <w:spacing w:before="360" w:after="160"/>
      </w:pPr>
      <w:r>
        <w:rPr>
          <w:rFonts w:ascii="Calibri" w:cs="Calibri" w:eastAsia="Calibri" w:hAnsi="Calibri"/>
          <w:b/>
          <w:bCs/>
          <w:color w:val="006633"/>
          <w:sz w:val="28"/>
          <w:szCs w:val="28"/>
        </w:rPr>
        <w:t xml:space="preserve">II. Description des données</w:t>
      </w:r>
    </w:p>
    <w:p>
      <w:pPr>
        <w:spacing w:before="80" w:after="80"/>
        <w:jc w:val="both"/>
      </w:pPr>
      <w:r>
        <w:rPr>
          <w:rFonts w:ascii="Calibri" w:cs="Calibri" w:eastAsia="Calibri" w:hAnsi="Calibri"/>
          <w:color w:val="2C2C2C"/>
          <w:sz w:val="22"/>
          <w:szCs w:val="22"/>
        </w:rPr>
        <w:t xml:space="preserve">Le jeu de données utilisé pour cette étude constitue un panel historique de 5 000 entreprises couvrant cinq exercices comptables consécutifs, soit 25 000 observations au total.</w:t>
      </w:r>
    </w:p>
    <w:p>
      <w:pPr>
        <w:spacing w:before="60" w:after="60"/>
      </w:pPr>
      <w:r>
        <w:t xml:space="preserve"/>
      </w:r>
    </w:p>
    <w:p>
      <w:pPr>
        <w:pStyle w:val="Heading2"/>
        <w:spacing w:before="240" w:after="120"/>
      </w:pPr>
      <w:r>
        <w:rPr>
          <w:rFonts w:ascii="Calibri" w:cs="Calibri" w:eastAsia="Calibri" w:hAnsi="Calibri"/>
          <w:b/>
          <w:bCs/>
          <w:color w:val="004422"/>
          <w:sz w:val="24"/>
          <w:szCs w:val="24"/>
        </w:rPr>
        <w:t xml:space="preserve">II.1 Présentation des variables</w:t>
      </w:r>
    </w:p>
    <w:p>
      <w:pPr>
        <w:spacing w:before="80" w:after="80"/>
        <w:ind w:firstLine="360"/>
        <w:jc w:val="both"/>
      </w:pPr>
      <w:r>
        <w:rPr>
          <w:rFonts w:ascii="Calibri" w:cs="Calibri" w:eastAsia="Calibri" w:hAnsi="Calibri"/>
          <w:color w:val="2C2C2C"/>
          <w:sz w:val="22"/>
          <w:szCs w:val="22"/>
        </w:rPr>
        <w:t xml:space="preserve">L'information disponible a été segmentée en quatre blocs thématiques distincts, reflétant la complexité multidimensionnelle du risque d'audit :</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Bloc</w:t>
            </w:r>
          </w:p>
        </w:tc>
        <w:tc>
          <w:tcPr>
            <w:tcW w:type="dxa" w:w="70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Variables incluses</w:t>
            </w:r>
          </w:p>
        </w:tc>
      </w:tr>
      <w:tr>
        <w:tc>
          <w:tcPr>
            <w:tcW w:type="dxa" w:w="20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Financier</w:t>
            </w:r>
          </w:p>
        </w:tc>
        <w:tc>
          <w:tcPr>
            <w:tcW w:type="dxa" w:w="70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Marge nette, ROA (Return on Assets), Current Ratio, ratio d'endettement (D/E), variation du BFR, présence de pertes nettes sur N-1</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Audit</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Montant des honoraires d'audit, délai de publication des comptes (en jours), rotation du cabinet, rotation de l'associé signataire</w:t>
            </w:r>
          </w:p>
        </w:tc>
      </w:tr>
      <w:tr>
        <w:tc>
          <w:tcPr>
            <w:tcW w:type="dxa" w:w="20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Gouvernance</w:t>
            </w:r>
          </w:p>
        </w:tc>
        <w:tc>
          <w:tcPr>
            <w:tcW w:type="dxa" w:w="70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Indépendance du CA (% d'administrateurs indépendants), rotation du PDG/DAF, taille du comité d'audit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Risque &amp; Marché</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Volatilité du cours de l'action, secteur d'activité, taille de l'entité — log(Total Actif)</w:t>
            </w:r>
          </w:p>
        </w:tc>
      </w:tr>
    </w:tbl>
    <w:p>
      <w:pPr>
        <w:spacing w:before="60" w:after="200"/>
        <w:jc w:val="center"/>
      </w:pPr>
      <w:r>
        <w:rPr>
          <w:rFonts w:ascii="Calibri" w:cs="Calibri" w:eastAsia="Calibri" w:hAnsi="Calibri"/>
          <w:i/>
          <w:iCs/>
          <w:color w:val="888888"/>
          <w:sz w:val="18"/>
          <w:szCs w:val="18"/>
        </w:rPr>
        <w:t xml:space="preserve">Tableau 1 : Présentation des blocs de variables</w:t>
      </w:r>
    </w:p>
    <w:p>
      <w:pPr>
        <w:pStyle w:val="Heading2"/>
        <w:spacing w:before="240" w:after="120"/>
      </w:pPr>
      <w:r>
        <w:rPr>
          <w:rFonts w:ascii="Calibri" w:cs="Calibri" w:eastAsia="Calibri" w:hAnsi="Calibri"/>
          <w:b/>
          <w:bCs/>
          <w:color w:val="004422"/>
          <w:sz w:val="24"/>
          <w:szCs w:val="24"/>
        </w:rPr>
        <w:t xml:space="preserve">II.2 Variable cible et déséquilibre des classes</w:t>
      </w:r>
    </w:p>
    <w:p>
      <w:pPr>
        <w:spacing w:before="80" w:after="80"/>
        <w:ind w:firstLine="360"/>
        <w:jc w:val="both"/>
      </w:pPr>
      <w:r>
        <w:rPr>
          <w:rFonts w:ascii="Calibri" w:cs="Calibri" w:eastAsia="Calibri" w:hAnsi="Calibri"/>
          <w:color w:val="2C2C2C"/>
          <w:sz w:val="22"/>
          <w:szCs w:val="22"/>
        </w:rPr>
        <w:t xml:space="preserve">La variable cible (Modified_Opinion) est binaire : la modalité « 1 » correspond à une opinion modifiée (réserves, impossibilité d'exprimer une opinion ou opinion défavorable) et représente la classe minoritaire — environ 8 % des observations. La modalité « 0 » désigne une certification sans réserve. Ce fort déséquilibre exige des précautions méthodologiques particulières, notamment en matière de métriques d'évaluation et de techniques de rééchantillonnage.</w:t>
      </w:r>
    </w:p>
    <w:p>
      <w:pPr>
        <w:pStyle w:val="Heading2"/>
        <w:spacing w:before="240" w:after="120"/>
      </w:pPr>
      <w:r>
        <w:rPr>
          <w:rFonts w:ascii="Calibri" w:cs="Calibri" w:eastAsia="Calibri" w:hAnsi="Calibri"/>
          <w:b/>
          <w:bCs/>
          <w:color w:val="004422"/>
          <w:sz w:val="24"/>
          <w:szCs w:val="24"/>
        </w:rPr>
        <w:t xml:space="preserve">II.3 Qualité des données</w:t>
      </w:r>
    </w:p>
    <w:p>
      <w:pPr>
        <w:spacing w:before="80" w:after="80"/>
        <w:ind w:firstLine="360"/>
        <w:jc w:val="both"/>
      </w:pPr>
      <w:r>
        <w:rPr>
          <w:rFonts w:ascii="Calibri" w:cs="Calibri" w:eastAsia="Calibri" w:hAnsi="Calibri"/>
          <w:color w:val="2C2C2C"/>
          <w:sz w:val="22"/>
          <w:szCs w:val="22"/>
        </w:rPr>
        <w:t xml:space="preserve">L'analyse initiale a révélé deux types d'imperfections : des valeurs manquantes pouvant atteindre 15 % sur les données de gouvernance pour les entités non cotées et sur certains ratios financiers lors de restructurations ; et des valeurs aberrantes (outliers) sur les ratios de liquidité et d'endettement, fréquemment associées à des entreprises en stress financier sévère ou à des structures en hyper-croissance.</w:t>
      </w:r>
    </w:p>
    <w:p>
      <w:pPr>
        <w:spacing w:before="0" w:after="0"/>
      </w:pPr>
      <w:r>
        <w:br w:type="page"/>
      </w:r>
    </w:p>
    <w:p>
      <w:pPr>
        <w:pStyle w:val="Heading1"/>
        <w:pBdr>
          <w:bottom w:val="single" w:color="006633" w:sz="4" w:space="1"/>
        </w:pBdr>
        <w:spacing w:before="360" w:after="160"/>
      </w:pPr>
      <w:r>
        <w:rPr>
          <w:rFonts w:ascii="Calibri" w:cs="Calibri" w:eastAsia="Calibri" w:hAnsi="Calibri"/>
          <w:b/>
          <w:bCs/>
          <w:color w:val="006633"/>
          <w:sz w:val="28"/>
          <w:szCs w:val="28"/>
        </w:rPr>
        <w:t xml:space="preserve">III. Préparation et analyse exploratoire des données</w:t>
      </w:r>
    </w:p>
    <w:p>
      <w:pPr>
        <w:pStyle w:val="Heading2"/>
        <w:spacing w:before="240" w:after="120"/>
      </w:pPr>
      <w:r>
        <w:rPr>
          <w:rFonts w:ascii="Calibri" w:cs="Calibri" w:eastAsia="Calibri" w:hAnsi="Calibri"/>
          <w:b/>
          <w:bCs/>
          <w:color w:val="004422"/>
          <w:sz w:val="24"/>
          <w:szCs w:val="24"/>
        </w:rPr>
        <w:t xml:space="preserve">III.1 Nettoyage et traitement des valeurs manquantes</w:t>
      </w:r>
    </w:p>
    <w:p>
      <w:pPr>
        <w:spacing w:before="80" w:after="80"/>
        <w:ind w:firstLine="360"/>
        <w:jc w:val="both"/>
      </w:pPr>
      <w:r>
        <w:rPr>
          <w:rFonts w:ascii="Calibri" w:cs="Calibri" w:eastAsia="Calibri" w:hAnsi="Calibri"/>
          <w:color w:val="2C2C2C"/>
          <w:sz w:val="22"/>
          <w:szCs w:val="22"/>
        </w:rPr>
        <w:t xml:space="preserve">Une phase de Data Wrangling rigoureuse a été menée pour garantir l'ingérabilité des données. Trois règles ont été appliquées de façon systématique :</w:t>
      </w:r>
    </w:p>
    <w:p>
      <w:pPr>
        <w:pStyle w:val="ListParagraph"/>
        <w:numPr>
          <w:ilvl w:val="0"/>
          <w:numId w:val="2"/>
        </w:numPr>
        <w:spacing w:before="60" w:after="60"/>
      </w:pPr>
      <w:r>
        <w:rPr>
          <w:rFonts w:ascii="Calibri" w:cs="Calibri" w:eastAsia="Calibri" w:hAnsi="Calibri"/>
          <w:color w:val="2C2C2C"/>
          <w:sz w:val="22"/>
          <w:szCs w:val="22"/>
        </w:rPr>
        <w:t xml:space="preserve">Imputation par la médiane pour les ratios financiers continus, afin de limiter l'influence des valeurs extrêmes sur les estimations centrales.</w:t>
      </w:r>
    </w:p>
    <w:p>
      <w:pPr>
        <w:pStyle w:val="ListParagraph"/>
        <w:numPr>
          <w:ilvl w:val="0"/>
          <w:numId w:val="2"/>
        </w:numPr>
        <w:spacing w:before="60" w:after="60"/>
      </w:pPr>
      <w:r>
        <w:rPr>
          <w:rFonts w:ascii="Calibri" w:cs="Calibri" w:eastAsia="Calibri" w:hAnsi="Calibri"/>
          <w:color w:val="2C2C2C"/>
          <w:sz w:val="22"/>
          <w:szCs w:val="22"/>
        </w:rPr>
        <w:t xml:space="preserve">Création d'une catégorie « Non Renseigné » pour les variables catégorielles manquantes (type de comité d'audit, notamment), permettant de préserver l'information liée à l'absence de données.</w:t>
      </w:r>
    </w:p>
    <w:p>
      <w:pPr>
        <w:pStyle w:val="ListParagraph"/>
        <w:numPr>
          <w:ilvl w:val="0"/>
          <w:numId w:val="2"/>
        </w:numPr>
        <w:spacing w:before="60" w:after="60"/>
      </w:pPr>
      <w:r>
        <w:rPr>
          <w:rFonts w:ascii="Calibri" w:cs="Calibri" w:eastAsia="Calibri" w:hAnsi="Calibri"/>
          <w:color w:val="2C2C2C"/>
          <w:sz w:val="22"/>
          <w:szCs w:val="22"/>
        </w:rPr>
        <w:t xml:space="preserve">Exclusion des observations présentant plus de 40 % de données manquantes, celles-ci ne fournissant pas une couverture informationnelle suffisante pour la modélisation.</w:t>
      </w:r>
    </w:p>
    <w:p>
      <w:pPr>
        <w:pStyle w:val="Heading2"/>
        <w:spacing w:before="240" w:after="120"/>
      </w:pPr>
      <w:r>
        <w:rPr>
          <w:rFonts w:ascii="Calibri" w:cs="Calibri" w:eastAsia="Calibri" w:hAnsi="Calibri"/>
          <w:b/>
          <w:bCs/>
          <w:color w:val="004422"/>
          <w:sz w:val="24"/>
          <w:szCs w:val="24"/>
        </w:rPr>
        <w:t xml:space="preserve">III.2 Normalisation et encodage</w:t>
      </w:r>
    </w:p>
    <w:p>
      <w:pPr>
        <w:spacing w:before="80" w:after="80"/>
        <w:ind w:firstLine="360"/>
        <w:jc w:val="both"/>
      </w:pPr>
      <w:r>
        <w:rPr>
          <w:rFonts w:ascii="Calibri" w:cs="Calibri" w:eastAsia="Calibri" w:hAnsi="Calibri"/>
          <w:color w:val="2C2C2C"/>
          <w:sz w:val="22"/>
          <w:szCs w:val="22"/>
        </w:rPr>
        <w:t xml:space="preserve">Les algorithmes sensibles à l'échelle des variables — en premier lieu la Régression Logistique — requièrent une harmonisation préalable des caractéristiques. Le StandardScaler (centrage-réduction, μ = 0, σ = 1) a été appliqué sur l'ensemble des variables continues. Pour atténuer le poids des outliers sur les ratios d'endettement, une transformation logarithmique a été réalisée en amont, complétée si nécessaire par un RobustScaler. L'encodage One-Hot (secteur d'activité, appartenance aux Big 4) et la binarisation (rotation DAF : Oui/Non) ont permis de représenter numériquement la totalité des variables qualitatives.</w:t>
      </w:r>
    </w:p>
    <w:p>
      <w:pPr>
        <w:pStyle w:val="Heading2"/>
        <w:spacing w:before="240" w:after="120"/>
      </w:pPr>
      <w:r>
        <w:rPr>
          <w:rFonts w:ascii="Calibri" w:cs="Calibri" w:eastAsia="Calibri" w:hAnsi="Calibri"/>
          <w:b/>
          <w:bCs/>
          <w:color w:val="004422"/>
          <w:sz w:val="24"/>
          <w:szCs w:val="24"/>
        </w:rPr>
        <w:t xml:space="preserve">III.3 Analyse exploratoire (EDA)</w:t>
      </w:r>
    </w:p>
    <w:p>
      <w:pPr>
        <w:spacing w:before="200" w:after="80"/>
      </w:pPr>
      <w:r>
        <w:rPr>
          <w:rFonts w:ascii="Calibri" w:cs="Calibri" w:eastAsia="Calibri" w:hAnsi="Calibri"/>
          <w:b/>
          <w:bCs/>
          <w:color w:val="2C2C2C"/>
          <w:sz w:val="22"/>
          <w:szCs w:val="22"/>
        </w:rPr>
        <w:t xml:space="preserve">Statistiques descriptives et corrélations</w:t>
      </w:r>
    </w:p>
    <w:p>
      <w:pPr>
        <w:spacing w:before="80" w:after="80"/>
        <w:ind w:firstLine="360"/>
        <w:jc w:val="both"/>
      </w:pPr>
      <w:r>
        <w:rPr>
          <w:rFonts w:ascii="Calibri" w:cs="Calibri" w:eastAsia="Calibri" w:hAnsi="Calibri"/>
          <w:color w:val="2C2C2C"/>
          <w:sz w:val="22"/>
          <w:szCs w:val="22"/>
        </w:rPr>
        <w:t xml:space="preserve">L'analyse univariée révèle que la moyenne du ROA pour le groupe des entreprises ayant reçu une opinion modifiée est significativement inférieure à celle du groupe certifié sans réserve. La matrice de corrélations met en évidence deux relations particulièrement significatives :</w:t>
      </w:r>
    </w:p>
    <w:p>
      <w:pPr>
        <w:pStyle w:val="ListParagraph"/>
        <w:numPr>
          <w:ilvl w:val="0"/>
          <w:numId w:val="2"/>
        </w:numPr>
        <w:spacing w:before="60" w:after="60"/>
      </w:pPr>
      <w:r>
        <w:rPr>
          <w:rFonts w:ascii="Calibri" w:cs="Calibri" w:eastAsia="Calibri" w:hAnsi="Calibri"/>
          <w:color w:val="2C2C2C"/>
          <w:sz w:val="22"/>
          <w:szCs w:val="22"/>
        </w:rPr>
        <w:t xml:space="preserve">Une corrélation positive modérée (r = +0,35) entre le délai de publication des comptes et l'opinion modifiée : un audit difficile, impliquant des ajustements comptables complexes, nécessite davantage de temps.</w:t>
      </w:r>
    </w:p>
    <w:p>
      <w:pPr>
        <w:pStyle w:val="ListParagraph"/>
        <w:numPr>
          <w:ilvl w:val="0"/>
          <w:numId w:val="2"/>
        </w:numPr>
        <w:spacing w:before="60" w:after="60"/>
      </w:pPr>
      <w:r>
        <w:rPr>
          <w:rFonts w:ascii="Calibri" w:cs="Calibri" w:eastAsia="Calibri" w:hAnsi="Calibri"/>
          <w:color w:val="2C2C2C"/>
          <w:sz w:val="22"/>
          <w:szCs w:val="22"/>
        </w:rPr>
        <w:t xml:space="preserve">Une corrélation négative (r = −0,28) entre la marge nette et la probabilité de réserve, confirmant le lien entre dégradation de la profitabilité et risque d'opinion modifiée.</w:t>
      </w:r>
    </w:p>
    <w:p>
      <w:pPr>
        <w:spacing w:before="200" w:after="80"/>
      </w:pPr>
      <w:r>
        <w:rPr>
          <w:rFonts w:ascii="Calibri" w:cs="Calibri" w:eastAsia="Calibri" w:hAnsi="Calibri"/>
          <w:b/>
          <w:bCs/>
          <w:color w:val="2C2C2C"/>
          <w:sz w:val="22"/>
          <w:szCs w:val="22"/>
        </w:rPr>
        <w:t xml:space="preserve">Visualisations clés</w:t>
      </w:r>
    </w:p>
    <w:p>
      <w:pPr>
        <w:spacing w:before="80" w:after="80"/>
        <w:ind w:firstLine="360"/>
        <w:jc w:val="both"/>
      </w:pPr>
      <w:r>
        <w:rPr>
          <w:rFonts w:ascii="Calibri" w:cs="Calibri" w:eastAsia="Calibri" w:hAnsi="Calibri"/>
          <w:color w:val="2C2C2C"/>
          <w:sz w:val="22"/>
          <w:szCs w:val="22"/>
        </w:rPr>
        <w:t xml:space="preserve">Les boxplots relatifs au Current Ratio mettent en évidence une médiane significativement plus faible chez les entreprises ayant reçu des réserves (proche de 1,0), signalant une pression de trésorerie fréquente et des incertitudes potentielles sur la continuité d'exploitation. La heatmap confirme l'absence de colinéarité forte entre les blocs Gouvernance et Finance, validant l'apport informationnel complémentaire et indépendant de chaque dimension dans le modèle prédictif.</w:t>
      </w:r>
    </w:p>
    <w:p>
      <w:pPr>
        <w:spacing w:before="200" w:after="80"/>
      </w:pPr>
      <w:r>
        <w:rPr>
          <w:rFonts w:ascii="Calibri" w:cs="Calibri" w:eastAsia="Calibri" w:hAnsi="Calibri"/>
          <w:b/>
          <w:bCs/>
          <w:color w:val="2C2C2C"/>
          <w:sz w:val="22"/>
          <w:szCs w:val="22"/>
        </w:rPr>
        <w:t xml:space="preserve">Insights métier</w:t>
      </w:r>
    </w:p>
    <w:p>
      <w:pPr>
        <w:spacing w:before="80" w:after="80"/>
        <w:ind w:firstLine="360"/>
        <w:jc w:val="both"/>
      </w:pPr>
      <w:r>
        <w:rPr>
          <w:rFonts w:ascii="Calibri" w:cs="Calibri" w:eastAsia="Calibri" w:hAnsi="Calibri"/>
          <w:color w:val="2C2C2C"/>
          <w:sz w:val="22"/>
          <w:szCs w:val="22"/>
        </w:rPr>
        <w:t xml:space="preserve">Les données confirment empiriquement que le risque d'audit ne dépend pas exclusivement de la santé financière. La dimension gouvernance — notamment la conjonction d'un changement de DAF et d'une rotation du cabinet dans le même exercice — capte un risque de contrôle interne ou un désaccord managérial qui augmente statistiquement la probabilité de réserve, indépendamment du niveau de profitabilité.</w:t>
      </w:r>
    </w:p>
    <w:p>
      <w:pPr>
        <w:spacing w:before="0" w:after="0"/>
      </w:pPr>
      <w:r>
        <w:br w:type="page"/>
      </w:r>
    </w:p>
    <w:p>
      <w:pPr>
        <w:pStyle w:val="Heading1"/>
        <w:pBdr>
          <w:bottom w:val="single" w:color="006633" w:sz="4" w:space="1"/>
        </w:pBdr>
        <w:spacing w:before="360" w:after="160"/>
      </w:pPr>
      <w:r>
        <w:rPr>
          <w:rFonts w:ascii="Calibri" w:cs="Calibri" w:eastAsia="Calibri" w:hAnsi="Calibri"/>
          <w:b/>
          <w:bCs/>
          <w:color w:val="006633"/>
          <w:sz w:val="28"/>
          <w:szCs w:val="28"/>
        </w:rPr>
        <w:t xml:space="preserve">IV. Modélisation</w:t>
      </w:r>
    </w:p>
    <w:p>
      <w:pPr>
        <w:pStyle w:val="Heading2"/>
        <w:spacing w:before="240" w:after="120"/>
      </w:pPr>
      <w:r>
        <w:rPr>
          <w:rFonts w:ascii="Calibri" w:cs="Calibri" w:eastAsia="Calibri" w:hAnsi="Calibri"/>
          <w:b/>
          <w:bCs/>
          <w:color w:val="004422"/>
          <w:sz w:val="24"/>
          <w:szCs w:val="24"/>
        </w:rPr>
        <w:t xml:space="preserve">IV.1 Algorithmes retenus et justifications</w:t>
      </w:r>
    </w:p>
    <w:p>
      <w:pPr>
        <w:spacing w:before="80" w:after="80"/>
        <w:ind w:firstLine="360"/>
        <w:jc w:val="both"/>
      </w:pPr>
      <w:r>
        <w:rPr>
          <w:rFonts w:ascii="Calibri" w:cs="Calibri" w:eastAsia="Calibri" w:hAnsi="Calibri"/>
          <w:color w:val="2C2C2C"/>
          <w:sz w:val="22"/>
          <w:szCs w:val="22"/>
        </w:rPr>
        <w:t xml:space="preserve">Trois algorithmes ont été sélectionnés afin de couvrir un spectre allant de l'interprétabilité maximale à la puissance prédictive optimale :</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Algorithme</w:t>
            </w:r>
          </w:p>
        </w:tc>
        <w:tc>
          <w:tcPr>
            <w:tcW w:type="dxa" w:w="18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Profil</w:t>
            </w:r>
          </w:p>
        </w:tc>
        <w:tc>
          <w:tcPr>
            <w:tcW w:type="dxa" w:w="46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Justification</w:t>
            </w:r>
          </w:p>
        </w:tc>
      </w:tr>
      <w:tr>
        <w:tc>
          <w:tcPr>
            <w:tcW w:type="dxa" w:w="26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Régression Logistique Pénalisée (Lasso L1)</w:t>
            </w:r>
          </w:p>
        </w:tc>
        <w:tc>
          <w:tcPr>
            <w:tcW w:type="dxa" w:w="18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pPr>
              <w:jc w:val="center"/>
            </w:pPr>
            <w:r>
              <w:rPr>
                <w:rFonts w:ascii="Calibri" w:cs="Calibri" w:eastAsia="Calibri" w:hAnsi="Calibri"/>
                <w:b w:val="false"/>
                <w:bCs w:val="false"/>
                <w:color w:val="2C2C2C"/>
                <w:sz w:val="20"/>
                <w:szCs w:val="20"/>
              </w:rPr>
              <w:t xml:space="preserve">White Box</w:t>
            </w:r>
          </w:p>
        </w:tc>
        <w:tc>
          <w:tcPr>
            <w:tcW w:type="dxa" w:w="46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Baseline interprétable ; coefficients exploitables par sous-bloc pour quantifier le poids de chaque dimension.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Random Forest</w:t>
            </w:r>
          </w:p>
        </w:tc>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Calibri" w:cs="Calibri" w:eastAsia="Calibri" w:hAnsi="Calibri"/>
                <w:b w:val="false"/>
                <w:bCs w:val="false"/>
                <w:color w:val="2C2C2C"/>
                <w:sz w:val="20"/>
                <w:szCs w:val="20"/>
              </w:rPr>
              <w:t xml:space="preserve">Grey Box</w:t>
            </w:r>
          </w:p>
        </w:tc>
        <w:tc>
          <w:tcPr>
            <w:tcW w:type="dxa" w:w="4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Capture des relations non linéaires (seuils d'endettement) ; robustesse naturelle aux outliers.</w:t>
            </w:r>
          </w:p>
        </w:tc>
      </w:tr>
      <w:tr>
        <w:tc>
          <w:tcPr>
            <w:tcW w:type="dxa" w:w="26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XGBoost</w:t>
            </w:r>
          </w:p>
        </w:tc>
        <w:tc>
          <w:tcPr>
            <w:tcW w:type="dxa" w:w="18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pPr>
              <w:jc w:val="center"/>
            </w:pPr>
            <w:r>
              <w:rPr>
                <w:rFonts w:ascii="Calibri" w:cs="Calibri" w:eastAsia="Calibri" w:hAnsi="Calibri"/>
                <w:b w:val="false"/>
                <w:bCs w:val="false"/>
                <w:color w:val="2C2C2C"/>
                <w:sz w:val="20"/>
                <w:szCs w:val="20"/>
              </w:rPr>
              <w:t xml:space="preserve">Black Box amélioré</w:t>
            </w:r>
          </w:p>
        </w:tc>
        <w:tc>
          <w:tcPr>
            <w:tcW w:type="dxa" w:w="46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État de l'art sur données tabulaires ; pénalisation ciblée des erreurs passées, particulièrement efficace pour la classe minoritaire (8 % de réserves).</w:t>
            </w:r>
          </w:p>
        </w:tc>
      </w:tr>
    </w:tbl>
    <w:p>
      <w:pPr>
        <w:spacing w:before="60" w:after="200"/>
        <w:jc w:val="center"/>
      </w:pPr>
      <w:r>
        <w:rPr>
          <w:rFonts w:ascii="Calibri" w:cs="Calibri" w:eastAsia="Calibri" w:hAnsi="Calibri"/>
          <w:i/>
          <w:iCs/>
          <w:color w:val="888888"/>
          <w:sz w:val="18"/>
          <w:szCs w:val="18"/>
        </w:rPr>
        <w:t xml:space="preserve">Tableau 2 : Récapitulatif des algorithmes de Machine Learning retenus</w:t>
      </w:r>
    </w:p>
    <w:p>
      <w:pPr>
        <w:pStyle w:val="Heading2"/>
        <w:spacing w:before="240" w:after="120"/>
      </w:pPr>
      <w:r>
        <w:rPr>
          <w:rFonts w:ascii="Calibri" w:cs="Calibri" w:eastAsia="Calibri" w:hAnsi="Calibri"/>
          <w:b/>
          <w:bCs/>
          <w:color w:val="004422"/>
          <w:sz w:val="24"/>
          <w:szCs w:val="24"/>
        </w:rPr>
        <w:t xml:space="preserve">IV.2 Méthodologie de validation</w:t>
      </w:r>
    </w:p>
    <w:p>
      <w:pPr>
        <w:spacing w:before="80" w:after="80"/>
        <w:ind w:firstLine="360"/>
        <w:jc w:val="both"/>
      </w:pPr>
      <w:r>
        <w:rPr>
          <w:rFonts w:ascii="Calibri" w:cs="Calibri" w:eastAsia="Calibri" w:hAnsi="Calibri"/>
          <w:color w:val="2C2C2C"/>
          <w:sz w:val="22"/>
          <w:szCs w:val="22"/>
        </w:rPr>
        <w:t xml:space="preserve">La séparation des données a suivi une logique temporelle (Out-of-Time) : entraînement sur les exercices N-4 à N-1, test sur l'exercice N. Cette approche garantit la robustesse temporelle des prévisions et simule les conditions réelles d'utilisation du modèle par un cabinet d'audit.</w:t>
      </w:r>
    </w:p>
    <w:p>
      <w:pPr>
        <w:spacing w:before="80" w:after="80"/>
        <w:ind w:firstLine="360"/>
        <w:jc w:val="both"/>
      </w:pPr>
      <w:r>
        <w:rPr>
          <w:rFonts w:ascii="Calibri" w:cs="Calibri" w:eastAsia="Calibri" w:hAnsi="Calibri"/>
          <w:color w:val="2C2C2C"/>
          <w:sz w:val="22"/>
          <w:szCs w:val="22"/>
        </w:rPr>
        <w:t xml:space="preserve">Le déséquilibre des classes a été traité par la technique SMOTE (Synthetic Minority Over-sampling Technique) appliquée exclusivement au set d'entraînement, couplée à la pondération des classes (class_weight = 'balanced') dans chaque algorithme. L'optimisation des hyperparamètres a été conduite par validation croisée K-Fold (k = 5).</w:t>
      </w:r>
    </w:p>
    <w:p>
      <w:pPr>
        <w:spacing w:before="0" w:after="0"/>
      </w:pPr>
      <w:r>
        <w:br w:type="page"/>
      </w:r>
    </w:p>
    <w:p>
      <w:pPr>
        <w:pStyle w:val="Heading1"/>
        <w:pBdr>
          <w:bottom w:val="single" w:color="006633" w:sz="4" w:space="1"/>
        </w:pBdr>
        <w:spacing w:before="360" w:after="160"/>
      </w:pPr>
      <w:r>
        <w:rPr>
          <w:rFonts w:ascii="Calibri" w:cs="Calibri" w:eastAsia="Calibri" w:hAnsi="Calibri"/>
          <w:b/>
          <w:bCs/>
          <w:color w:val="006633"/>
          <w:sz w:val="28"/>
          <w:szCs w:val="28"/>
        </w:rPr>
        <w:t xml:space="preserve">V. Évaluation des modèles</w:t>
      </w:r>
    </w:p>
    <w:p>
      <w:pPr>
        <w:pStyle w:val="Heading2"/>
        <w:spacing w:before="240" w:after="120"/>
      </w:pPr>
      <w:r>
        <w:rPr>
          <w:rFonts w:ascii="Calibri" w:cs="Calibri" w:eastAsia="Calibri" w:hAnsi="Calibri"/>
          <w:b/>
          <w:bCs/>
          <w:color w:val="004422"/>
          <w:sz w:val="24"/>
          <w:szCs w:val="24"/>
        </w:rPr>
        <w:t xml:space="preserve">V.1 Résultats comparatifs</w:t>
      </w:r>
    </w:p>
    <w:p>
      <w:pPr>
        <w:spacing w:before="80" w:after="80"/>
        <w:ind w:firstLine="360"/>
        <w:jc w:val="both"/>
      </w:pPr>
      <w:r>
        <w:rPr>
          <w:rFonts w:ascii="Calibri" w:cs="Calibri" w:eastAsia="Calibri" w:hAnsi="Calibri"/>
          <w:color w:val="2C2C2C"/>
          <w:sz w:val="22"/>
          <w:szCs w:val="22"/>
        </w:rPr>
        <w:t xml:space="preserve">Le déséquilibre majeur des classes impose de rejeter l'Accuracy comme métrique principale — un modèle naïf prédisant systématiquement « zéro réserve » atteindrait 92 % d'accuracy sans aucune utilité pratique. L'optimisation a donc porté sur le Recall (ne manquer aucun dossier à risque) et le F1-Score.</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tblGrid>
      <w:tr>
        <w:trPr>
          <w:tblHeader/>
        </w:trPr>
        <w:tc>
          <w:tcPr>
            <w:tcW w:type="dxa" w:w="26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Modèle</w:t>
            </w:r>
          </w:p>
        </w:tc>
        <w:tc>
          <w:tcPr>
            <w:tcW w:type="dxa" w:w="16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ROC-AUC</w:t>
            </w:r>
          </w:p>
        </w:tc>
        <w:tc>
          <w:tcPr>
            <w:tcW w:type="dxa" w:w="16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Précision</w:t>
            </w:r>
          </w:p>
        </w:tc>
        <w:tc>
          <w:tcPr>
            <w:tcW w:type="dxa" w:w="16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Recall (cl. 1)</w:t>
            </w:r>
          </w:p>
        </w:tc>
        <w:tc>
          <w:tcPr>
            <w:tcW w:type="dxa" w:w="16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F1-Score</w:t>
            </w:r>
          </w:p>
        </w:tc>
      </w:tr>
      <w:tr>
        <w:tc>
          <w:tcPr>
            <w:tcW w:type="dxa" w:w="26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tcPr>
          <w:p>
            <w:r>
              <w:rPr>
                <w:rFonts w:ascii="Calibri" w:cs="Calibri" w:eastAsia="Calibri" w:hAnsi="Calibri"/>
                <w:b w:val="false"/>
                <w:bCs w:val="false"/>
                <w:color w:val="2C2C2C"/>
                <w:sz w:val="20"/>
                <w:szCs w:val="20"/>
              </w:rPr>
              <w:t xml:space="preserve">Régression Logistique</w:t>
            </w:r>
          </w:p>
        </w:tc>
        <w:tc>
          <w:tcPr>
            <w:tcW w:type="dxa" w:w="16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tcPr>
          <w:p>
            <w:pPr>
              <w:jc w:val="center"/>
            </w:pPr>
            <w:r>
              <w:rPr>
                <w:rFonts w:ascii="Calibri" w:cs="Calibri" w:eastAsia="Calibri" w:hAnsi="Calibri"/>
                <w:b w:val="false"/>
                <w:bCs w:val="false"/>
                <w:color w:val="2C2C2C"/>
                <w:sz w:val="20"/>
                <w:szCs w:val="20"/>
              </w:rPr>
              <w:t xml:space="preserve">0,76</w:t>
            </w:r>
          </w:p>
        </w:tc>
        <w:tc>
          <w:tcPr>
            <w:tcW w:type="dxa" w:w="16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tcPr>
          <w:p>
            <w:pPr>
              <w:jc w:val="center"/>
            </w:pPr>
            <w:r>
              <w:rPr>
                <w:rFonts w:ascii="Calibri" w:cs="Calibri" w:eastAsia="Calibri" w:hAnsi="Calibri"/>
                <w:b w:val="false"/>
                <w:bCs w:val="false"/>
                <w:color w:val="2C2C2C"/>
                <w:sz w:val="20"/>
                <w:szCs w:val="20"/>
              </w:rPr>
              <w:t xml:space="preserve">0,42</w:t>
            </w:r>
          </w:p>
        </w:tc>
        <w:tc>
          <w:tcPr>
            <w:tcW w:type="dxa" w:w="16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tcPr>
          <w:p>
            <w:pPr>
              <w:jc w:val="center"/>
            </w:pPr>
            <w:r>
              <w:rPr>
                <w:rFonts w:ascii="Calibri" w:cs="Calibri" w:eastAsia="Calibri" w:hAnsi="Calibri"/>
                <w:b w:val="false"/>
                <w:bCs w:val="false"/>
                <w:color w:val="2C2C2C"/>
                <w:sz w:val="20"/>
                <w:szCs w:val="20"/>
              </w:rPr>
              <w:t xml:space="preserve">0,61</w:t>
            </w:r>
          </w:p>
        </w:tc>
        <w:tc>
          <w:tcPr>
            <w:tcW w:type="dxa" w:w="16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tcPr>
          <w:p>
            <w:pPr>
              <w:jc w:val="center"/>
            </w:pPr>
            <w:r>
              <w:rPr>
                <w:rFonts w:ascii="Calibri" w:cs="Calibri" w:eastAsia="Calibri" w:hAnsi="Calibri"/>
                <w:b w:val="false"/>
                <w:bCs w:val="false"/>
                <w:color w:val="2C2C2C"/>
                <w:sz w:val="20"/>
                <w:szCs w:val="20"/>
              </w:rPr>
              <w:t xml:space="preserve">0,49</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Calibri" w:cs="Calibri" w:eastAsia="Calibri" w:hAnsi="Calibri"/>
                <w:b w:val="false"/>
                <w:bCs w:val="false"/>
                <w:color w:val="2C2C2C"/>
                <w:sz w:val="20"/>
                <w:szCs w:val="20"/>
              </w:rPr>
              <w:t xml:space="preserve">Random Forest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center"/>
            </w:pPr>
            <w:r>
              <w:rPr>
                <w:rFonts w:ascii="Calibri" w:cs="Calibri" w:eastAsia="Calibri" w:hAnsi="Calibri"/>
                <w:b w:val="false"/>
                <w:bCs w:val="false"/>
                <w:color w:val="2C2C2C"/>
                <w:sz w:val="20"/>
                <w:szCs w:val="20"/>
              </w:rPr>
              <w:t xml:space="preserve">0,82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center"/>
            </w:pPr>
            <w:r>
              <w:rPr>
                <w:rFonts w:ascii="Calibri" w:cs="Calibri" w:eastAsia="Calibri" w:hAnsi="Calibri"/>
                <w:b w:val="false"/>
                <w:bCs w:val="false"/>
                <w:color w:val="2C2C2C"/>
                <w:sz w:val="20"/>
                <w:szCs w:val="20"/>
              </w:rPr>
              <w:t xml:space="preserve">0,58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center"/>
            </w:pPr>
            <w:r>
              <w:rPr>
                <w:rFonts w:ascii="Calibri" w:cs="Calibri" w:eastAsia="Calibri" w:hAnsi="Calibri"/>
                <w:b w:val="false"/>
                <w:bCs w:val="false"/>
                <w:color w:val="2C2C2C"/>
                <w:sz w:val="20"/>
                <w:szCs w:val="20"/>
              </w:rPr>
              <w:t xml:space="preserve">0,68</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pPr>
              <w:jc w:val="center"/>
            </w:pPr>
            <w:r>
              <w:rPr>
                <w:rFonts w:ascii="Calibri" w:cs="Calibri" w:eastAsia="Calibri" w:hAnsi="Calibri"/>
                <w:b w:val="false"/>
                <w:bCs w:val="false"/>
                <w:color w:val="2C2C2C"/>
                <w:sz w:val="20"/>
                <w:szCs w:val="20"/>
              </w:rPr>
              <w:t xml:space="preserve">0,62</w:t>
            </w:r>
          </w:p>
        </w:tc>
      </w:tr>
      <w:tr>
        <w:tc>
          <w:tcPr>
            <w:tcW w:type="dxa" w:w="2600"/>
            <w:tcBorders>
              <w:top w:val="single" w:color="CCCCCC" w:sz="1"/>
              <w:left w:val="single" w:color="CCCCCC" w:sz="1"/>
              <w:bottom w:val="single" w:color="CCCCCC" w:sz="1"/>
              <w:right w:val="single" w:color="CCCCCC" w:sz="1"/>
            </w:tcBorders>
            <w:shd w:fill="E8F5EE" w:val="clear"/>
            <w:tcMar>
              <w:top w:type="dxa" w:w="90"/>
              <w:left w:type="dxa" w:w="150"/>
              <w:bottom w:type="dxa" w:w="90"/>
              <w:right w:type="dxa" w:w="150"/>
            </w:tcMar>
          </w:tcPr>
          <w:p>
            <w:r>
              <w:rPr>
                <w:rFonts w:ascii="Calibri" w:cs="Calibri" w:eastAsia="Calibri" w:hAnsi="Calibri"/>
                <w:b/>
                <w:bCs/>
                <w:color w:val="004422"/>
                <w:sz w:val="20"/>
                <w:szCs w:val="20"/>
              </w:rPr>
              <w:t xml:space="preserve">XGBoost  ★ Meilleur modèle</w:t>
            </w:r>
          </w:p>
        </w:tc>
        <w:tc>
          <w:tcPr>
            <w:tcW w:type="dxa" w:w="1600"/>
            <w:tcBorders>
              <w:top w:val="single" w:color="CCCCCC" w:sz="1"/>
              <w:left w:val="single" w:color="CCCCCC" w:sz="1"/>
              <w:bottom w:val="single" w:color="CCCCCC" w:sz="1"/>
              <w:right w:val="single" w:color="CCCCCC" w:sz="1"/>
            </w:tcBorders>
            <w:shd w:fill="E8F5EE" w:val="clear"/>
            <w:tcMar>
              <w:top w:type="dxa" w:w="90"/>
              <w:left w:type="dxa" w:w="150"/>
              <w:bottom w:type="dxa" w:w="90"/>
              <w:right w:type="dxa" w:w="150"/>
            </w:tcMar>
          </w:tcPr>
          <w:p>
            <w:pPr>
              <w:jc w:val="center"/>
            </w:pPr>
            <w:r>
              <w:rPr>
                <w:rFonts w:ascii="Calibri" w:cs="Calibri" w:eastAsia="Calibri" w:hAnsi="Calibri"/>
                <w:b/>
                <w:bCs/>
                <w:color w:val="004422"/>
                <w:sz w:val="20"/>
                <w:szCs w:val="20"/>
              </w:rPr>
              <w:t xml:space="preserve">0,86</w:t>
            </w:r>
          </w:p>
        </w:tc>
        <w:tc>
          <w:tcPr>
            <w:tcW w:type="dxa" w:w="1600"/>
            <w:tcBorders>
              <w:top w:val="single" w:color="CCCCCC" w:sz="1"/>
              <w:left w:val="single" w:color="CCCCCC" w:sz="1"/>
              <w:bottom w:val="single" w:color="CCCCCC" w:sz="1"/>
              <w:right w:val="single" w:color="CCCCCC" w:sz="1"/>
            </w:tcBorders>
            <w:shd w:fill="E8F5EE" w:val="clear"/>
            <w:tcMar>
              <w:top w:type="dxa" w:w="90"/>
              <w:left w:type="dxa" w:w="150"/>
              <w:bottom w:type="dxa" w:w="90"/>
              <w:right w:type="dxa" w:w="150"/>
            </w:tcMar>
          </w:tcPr>
          <w:p>
            <w:pPr>
              <w:jc w:val="center"/>
            </w:pPr>
            <w:r>
              <w:rPr>
                <w:rFonts w:ascii="Calibri" w:cs="Calibri" w:eastAsia="Calibri" w:hAnsi="Calibri"/>
                <w:b/>
                <w:bCs/>
                <w:color w:val="004422"/>
                <w:sz w:val="20"/>
                <w:szCs w:val="20"/>
              </w:rPr>
              <w:t xml:space="preserve">0,65</w:t>
            </w:r>
          </w:p>
        </w:tc>
        <w:tc>
          <w:tcPr>
            <w:tcW w:type="dxa" w:w="1600"/>
            <w:tcBorders>
              <w:top w:val="single" w:color="CCCCCC" w:sz="1"/>
              <w:left w:val="single" w:color="CCCCCC" w:sz="1"/>
              <w:bottom w:val="single" w:color="CCCCCC" w:sz="1"/>
              <w:right w:val="single" w:color="CCCCCC" w:sz="1"/>
            </w:tcBorders>
            <w:shd w:fill="E8F5EE" w:val="clear"/>
            <w:tcMar>
              <w:top w:type="dxa" w:w="90"/>
              <w:left w:type="dxa" w:w="150"/>
              <w:bottom w:type="dxa" w:w="90"/>
              <w:right w:type="dxa" w:w="150"/>
            </w:tcMar>
          </w:tcPr>
          <w:p>
            <w:pPr>
              <w:jc w:val="center"/>
            </w:pPr>
            <w:r>
              <w:rPr>
                <w:rFonts w:ascii="Calibri" w:cs="Calibri" w:eastAsia="Calibri" w:hAnsi="Calibri"/>
                <w:b/>
                <w:bCs/>
                <w:color w:val="004422"/>
                <w:sz w:val="20"/>
                <w:szCs w:val="20"/>
              </w:rPr>
              <w:t xml:space="preserve">0,75</w:t>
            </w:r>
          </w:p>
        </w:tc>
        <w:tc>
          <w:tcPr>
            <w:tcW w:type="dxa" w:w="1600"/>
            <w:tcBorders>
              <w:top w:val="single" w:color="CCCCCC" w:sz="1"/>
              <w:left w:val="single" w:color="CCCCCC" w:sz="1"/>
              <w:bottom w:val="single" w:color="CCCCCC" w:sz="1"/>
              <w:right w:val="single" w:color="CCCCCC" w:sz="1"/>
            </w:tcBorders>
            <w:shd w:fill="E8F5EE" w:val="clear"/>
            <w:tcMar>
              <w:top w:type="dxa" w:w="90"/>
              <w:left w:type="dxa" w:w="150"/>
              <w:bottom w:type="dxa" w:w="90"/>
              <w:right w:type="dxa" w:w="150"/>
            </w:tcMar>
          </w:tcPr>
          <w:p>
            <w:pPr>
              <w:jc w:val="center"/>
            </w:pPr>
            <w:r>
              <w:rPr>
                <w:rFonts w:ascii="Calibri" w:cs="Calibri" w:eastAsia="Calibri" w:hAnsi="Calibri"/>
                <w:b/>
                <w:bCs/>
                <w:color w:val="004422"/>
                <w:sz w:val="20"/>
                <w:szCs w:val="20"/>
              </w:rPr>
              <w:t xml:space="preserve">0,69</w:t>
            </w:r>
          </w:p>
        </w:tc>
      </w:tr>
    </w:tbl>
    <w:p>
      <w:pPr>
        <w:spacing w:before="60" w:after="200"/>
        <w:jc w:val="center"/>
      </w:pPr>
      <w:r>
        <w:rPr>
          <w:rFonts w:ascii="Calibri" w:cs="Calibri" w:eastAsia="Calibri" w:hAnsi="Calibri"/>
          <w:i/>
          <w:iCs/>
          <w:color w:val="888888"/>
          <w:sz w:val="18"/>
          <w:szCs w:val="18"/>
        </w:rPr>
        <w:t xml:space="preserve">Tableau 3 : Comparaison des performances des modèles (set de test, N = 500 observations)</w:t>
      </w:r>
    </w:p>
    <w:p>
      <w:pPr>
        <w:pStyle w:val="Heading2"/>
        <w:spacing w:before="240" w:after="120"/>
      </w:pPr>
      <w:r>
        <w:rPr>
          <w:rFonts w:ascii="Calibri" w:cs="Calibri" w:eastAsia="Calibri" w:hAnsi="Calibri"/>
          <w:b/>
          <w:bCs/>
          <w:color w:val="004422"/>
          <w:sz w:val="24"/>
          <w:szCs w:val="24"/>
        </w:rPr>
        <w:t xml:space="preserve">V.2 Interprétation de la matrice de confusion (XGBoost)</w:t>
      </w:r>
    </w:p>
    <w:p>
      <w:pPr>
        <w:spacing w:before="80" w:after="80"/>
        <w:ind w:firstLine="360"/>
        <w:jc w:val="both"/>
      </w:pPr>
      <w:r>
        <w:rPr>
          <w:rFonts w:ascii="Calibri" w:cs="Calibri" w:eastAsia="Calibri" w:hAnsi="Calibri"/>
          <w:color w:val="2C2C2C"/>
          <w:sz w:val="22"/>
          <w:szCs w:val="22"/>
        </w:rPr>
        <w:t xml:space="preserve">Sur les 500 dossiers composant le set de test, pour un historique d'environ 40 opinions modifiées, la matrice de confusion du modèle XGBoost se décompose comme suit :</w:t>
      </w:r>
    </w:p>
    <w:p>
      <w:pPr>
        <w:pStyle w:val="ListParagraph"/>
        <w:numPr>
          <w:ilvl w:val="0"/>
          <w:numId w:val="2"/>
        </w:numPr>
        <w:spacing w:before="60" w:after="60"/>
      </w:pPr>
      <w:r>
        <w:rPr>
          <w:rFonts w:ascii="Calibri" w:cs="Calibri" w:eastAsia="Calibri" w:hAnsi="Calibri"/>
          <w:color w:val="2C2C2C"/>
          <w:sz w:val="22"/>
          <w:szCs w:val="22"/>
        </w:rPr>
        <w:t xml:space="preserve">Vrais Positifs (30) : le modèle alerte correctement sur 30 dossiers qui reçoivent effectivement des réserves, soit un Recall de 75 %.</w:t>
      </w:r>
    </w:p>
    <w:p>
      <w:pPr>
        <w:pStyle w:val="ListParagraph"/>
        <w:numPr>
          <w:ilvl w:val="0"/>
          <w:numId w:val="2"/>
        </w:numPr>
        <w:spacing w:before="60" w:after="60"/>
      </w:pPr>
      <w:r>
        <w:rPr>
          <w:rFonts w:ascii="Calibri" w:cs="Calibri" w:eastAsia="Calibri" w:hAnsi="Calibri"/>
          <w:color w:val="2C2C2C"/>
          <w:sz w:val="22"/>
          <w:szCs w:val="22"/>
        </w:rPr>
        <w:t xml:space="preserve">Faux Négatifs (10) : seulement 10 dossiers à risque réel ne sont pas détectés. Ce « coût de silence » demeure faible au regard de l'enjeu.</w:t>
      </w:r>
    </w:p>
    <w:p>
      <w:pPr>
        <w:pStyle w:val="ListParagraph"/>
        <w:numPr>
          <w:ilvl w:val="0"/>
          <w:numId w:val="2"/>
        </w:numPr>
        <w:spacing w:before="60" w:after="60"/>
      </w:pPr>
      <w:r>
        <w:rPr>
          <w:rFonts w:ascii="Calibri" w:cs="Calibri" w:eastAsia="Calibri" w:hAnsi="Calibri"/>
          <w:color w:val="2C2C2C"/>
          <w:sz w:val="22"/>
          <w:szCs w:val="22"/>
        </w:rPr>
        <w:t xml:space="preserve">Faux Positifs (16) : l'algorithme déclenche une alerte sur 16 dossiers finalement certifiés sans réserve. Ce coût de fausse alarme est pleinement acceptable en audit — il implique simplement une revue approfondie par l'associé, pratique professionnelle normale.</w:t>
      </w:r>
    </w:p>
    <w:p>
      <w:pPr>
        <w:spacing w:before="0" w:after="0"/>
      </w:pPr>
      <w:r>
        <w:br w:type="page"/>
      </w:r>
    </w:p>
    <w:p>
      <w:pPr>
        <w:pStyle w:val="Heading1"/>
        <w:pBdr>
          <w:bottom w:val="single" w:color="006633" w:sz="4" w:space="1"/>
        </w:pBdr>
        <w:spacing w:before="360" w:after="160"/>
      </w:pPr>
      <w:r>
        <w:rPr>
          <w:rFonts w:ascii="Calibri" w:cs="Calibri" w:eastAsia="Calibri" w:hAnsi="Calibri"/>
          <w:b/>
          <w:bCs/>
          <w:color w:val="006633"/>
          <w:sz w:val="28"/>
          <w:szCs w:val="28"/>
        </w:rPr>
        <w:t xml:space="preserve">VI. Interprétation des résultats</w:t>
      </w:r>
    </w:p>
    <w:p>
      <w:pPr>
        <w:pStyle w:val="Heading2"/>
        <w:spacing w:before="240" w:after="120"/>
      </w:pPr>
      <w:r>
        <w:rPr>
          <w:rFonts w:ascii="Calibri" w:cs="Calibri" w:eastAsia="Calibri" w:hAnsi="Calibri"/>
          <w:b/>
          <w:bCs/>
          <w:color w:val="004422"/>
          <w:sz w:val="24"/>
          <w:szCs w:val="24"/>
        </w:rPr>
        <w:t xml:space="preserve">VI.1 Variables les plus importantes</w:t>
      </w:r>
    </w:p>
    <w:p>
      <w:pPr>
        <w:spacing w:before="80" w:after="80"/>
        <w:ind w:firstLine="360"/>
        <w:jc w:val="both"/>
      </w:pPr>
      <w:r>
        <w:rPr>
          <w:rFonts w:ascii="Calibri" w:cs="Calibri" w:eastAsia="Calibri" w:hAnsi="Calibri"/>
          <w:color w:val="2C2C2C"/>
          <w:sz w:val="22"/>
          <w:szCs w:val="22"/>
        </w:rPr>
        <w:t xml:space="preserve">L'exploitation des valeurs SHAP (SHapley Additive exPlanations) sur XGBoost et des Feature Importances du Random Forest a permis d'isoler les déterminants les plus prédictifs du risque d'audit :</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00"/>
      </w:tblGrid>
      <w:tr>
        <w:trPr>
          <w:tblHeader/>
        </w:trPr>
        <w:tc>
          <w:tcPr>
            <w:tcW w:type="dxa" w:w="6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Variable</w:t>
            </w:r>
          </w:p>
        </w:tc>
        <w:tc>
          <w:tcPr>
            <w:tcW w:type="dxa" w:w="54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Interprétation métier</w:t>
            </w:r>
          </w:p>
        </w:tc>
      </w:tr>
      <w:tr>
        <w:tc>
          <w:tcPr>
            <w:tcW w:type="dxa" w:w="6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pPr>
              <w:jc w:val="center"/>
            </w:pPr>
            <w:r>
              <w:rPr>
                <w:rFonts w:ascii="Calibri" w:cs="Calibri" w:eastAsia="Calibri" w:hAnsi="Calibri"/>
                <w:b/>
                <w:bCs/>
                <w:color w:val="004422"/>
                <w:sz w:val="20"/>
                <w:szCs w:val="20"/>
              </w:rPr>
              <w:t xml:space="preserve">1</w:t>
            </w:r>
          </w:p>
        </w:tc>
        <w:tc>
          <w:tcPr>
            <w:tcW w:type="dxa" w:w="30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Délai de publication des états financiers</w:t>
            </w:r>
          </w:p>
        </w:tc>
        <w:tc>
          <w:tcPr>
            <w:tcW w:type="dxa" w:w="54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Les retards trahissent des ajustements comptables complexes (dépréciations, restructurations) précédant souvent l'émission de réserves.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Calibri" w:cs="Calibri" w:eastAsia="Calibri" w:hAnsi="Calibri"/>
                <w:b/>
                <w:bCs/>
                <w:color w:val="004422"/>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BFR / Cash-Flow Opérationnel</w:t>
            </w:r>
          </w:p>
        </w:tc>
        <w:tc>
          <w:tcPr>
            <w:tcW w:type="dxa" w:w="5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La destruction de cash au niveau opérationnel constitue le signal le plus précoce d'un risque sur le principe de continuité d'exploitation.</w:t>
            </w:r>
          </w:p>
        </w:tc>
      </w:tr>
      <w:tr>
        <w:tc>
          <w:tcPr>
            <w:tcW w:type="dxa" w:w="6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pPr>
              <w:jc w:val="center"/>
            </w:pPr>
            <w:r>
              <w:rPr>
                <w:rFonts w:ascii="Calibri" w:cs="Calibri" w:eastAsia="Calibri" w:hAnsi="Calibri"/>
                <w:b/>
                <w:bCs/>
                <w:color w:val="004422"/>
                <w:sz w:val="20"/>
                <w:szCs w:val="20"/>
              </w:rPr>
              <w:t xml:space="preserve">3</w:t>
            </w:r>
          </w:p>
        </w:tc>
        <w:tc>
          <w:tcPr>
            <w:tcW w:type="dxa" w:w="30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Rotation DAF + Rotation Auditeur</w:t>
            </w:r>
          </w:p>
        </w:tc>
        <w:tc>
          <w:tcPr>
            <w:tcW w:type="dxa" w:w="54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La conjonction de ces deux événements dans le même exercice est le signal gouvernance le plus alarmant, traduisant un désaccord managérial.</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Calibri" w:cs="Calibri" w:eastAsia="Calibri" w:hAnsi="Calibri"/>
                <w:b/>
                <w:bCs/>
                <w:color w:val="004422"/>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ROA &amp; Marge nette</w:t>
            </w:r>
          </w:p>
        </w:tc>
        <w:tc>
          <w:tcPr>
            <w:tcW w:type="dxa" w:w="5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La dégradation de la rentabilité, notamment la présence de pertes nettes sur N-1, augmente significativement le risque de réserve.</w:t>
            </w:r>
          </w:p>
        </w:tc>
      </w:tr>
      <w:tr>
        <w:tc>
          <w:tcPr>
            <w:tcW w:type="dxa" w:w="6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pPr>
              <w:jc w:val="center"/>
            </w:pPr>
            <w:r>
              <w:rPr>
                <w:rFonts w:ascii="Calibri" w:cs="Calibri" w:eastAsia="Calibri" w:hAnsi="Calibri"/>
                <w:b/>
                <w:bCs/>
                <w:color w:val="004422"/>
                <w:sz w:val="20"/>
                <w:szCs w:val="20"/>
              </w:rPr>
              <w:t xml:space="preserve">5</w:t>
            </w:r>
          </w:p>
        </w:tc>
        <w:tc>
          <w:tcPr>
            <w:tcW w:type="dxa" w:w="30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Volatilité du cours de l'action</w:t>
            </w:r>
          </w:p>
        </w:tc>
        <w:tc>
          <w:tcPr>
            <w:tcW w:type="dxa" w:w="54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Un cours erratique reflète l'incertitude des marchés et amplifie le risque perçu par l'auditeur sur les estimations comptables.</w:t>
            </w:r>
          </w:p>
        </w:tc>
      </w:tr>
    </w:tbl>
    <w:p>
      <w:pPr>
        <w:spacing w:before="60" w:after="200"/>
        <w:jc w:val="center"/>
      </w:pPr>
      <w:r>
        <w:rPr>
          <w:rFonts w:ascii="Calibri" w:cs="Calibri" w:eastAsia="Calibri" w:hAnsi="Calibri"/>
          <w:i/>
          <w:iCs/>
          <w:color w:val="888888"/>
          <w:sz w:val="18"/>
          <w:szCs w:val="18"/>
        </w:rPr>
        <w:t xml:space="preserve">Tableau 4 : Classement des cinq variables les plus prédictives (SHAP values, XGBoost)</w:t>
      </w:r>
    </w:p>
    <w:p>
      <w:pPr>
        <w:pStyle w:val="Heading2"/>
        <w:spacing w:before="240" w:after="120"/>
      </w:pPr>
      <w:r>
        <w:rPr>
          <w:rFonts w:ascii="Calibri" w:cs="Calibri" w:eastAsia="Calibri" w:hAnsi="Calibri"/>
          <w:b/>
          <w:bCs/>
          <w:color w:val="004422"/>
          <w:sz w:val="24"/>
          <w:szCs w:val="24"/>
        </w:rPr>
        <w:t xml:space="preserve">VI.2 Implications pour les auditeurs</w:t>
      </w:r>
    </w:p>
    <w:p>
      <w:pPr>
        <w:spacing w:before="80" w:after="80"/>
        <w:ind w:firstLine="360"/>
        <w:jc w:val="both"/>
      </w:pPr>
      <w:r>
        <w:rPr>
          <w:rFonts w:ascii="Calibri" w:cs="Calibri" w:eastAsia="Calibri" w:hAnsi="Calibri"/>
          <w:color w:val="2C2C2C"/>
          <w:sz w:val="22"/>
          <w:szCs w:val="22"/>
        </w:rPr>
        <w:t xml:space="preserve">Ces résultats appellent une évolution de la doctrine professionnelle : l'auditeur ne doit plus se concentrer exclusivement sur l'analyse des chiffres historiques. L'intégration de signaux opérationnels et de gouvernance — retards administratifs, instabilité du management, résiliation anticipée du mandat — constitue une exigence méthodologique de premier plan.</w:t>
      </w:r>
    </w:p>
    <w:p>
      <w:pPr>
        <w:spacing w:before="80" w:after="80"/>
        <w:ind w:firstLine="360"/>
        <w:jc w:val="both"/>
      </w:pPr>
      <w:r>
        <w:rPr>
          <w:rFonts w:ascii="Calibri" w:cs="Calibri" w:eastAsia="Calibri" w:hAnsi="Calibri"/>
          <w:color w:val="2C2C2C"/>
          <w:sz w:val="22"/>
          <w:szCs w:val="22"/>
        </w:rPr>
        <w:t xml:space="preserve">Le modèle démontre empiriquement que le risque de fraude ou de désaccord majeur sur les estimations comptables est fréquemment précédé de « bruit » au niveau du top management, bien avant que ce risque ne se matérialise dans les états financiers. Cette fenêtre d'alerte précoce est précisément ce que l'Intelligence Artificielle permet de systématiser et d'exploiter.</w:t>
      </w:r>
    </w:p>
    <w:p>
      <w:pPr>
        <w:spacing w:before="0" w:after="0"/>
      </w:pPr>
      <w:r>
        <w:br w:type="page"/>
      </w:r>
    </w:p>
    <w:p>
      <w:pPr>
        <w:pStyle w:val="Heading1"/>
        <w:pBdr>
          <w:bottom w:val="single" w:color="006633" w:sz="4" w:space="1"/>
        </w:pBdr>
        <w:spacing w:before="360" w:after="160"/>
      </w:pPr>
      <w:r>
        <w:rPr>
          <w:rFonts w:ascii="Calibri" w:cs="Calibri" w:eastAsia="Calibri" w:hAnsi="Calibri"/>
          <w:b/>
          <w:bCs/>
          <w:color w:val="006633"/>
          <w:sz w:val="28"/>
          <w:szCs w:val="28"/>
        </w:rPr>
        <w:t xml:space="preserve">VII. Conclusion et recommandations</w:t>
      </w:r>
    </w:p>
    <w:p>
      <w:pPr>
        <w:pStyle w:val="Heading2"/>
        <w:spacing w:before="240" w:after="120"/>
      </w:pPr>
      <w:r>
        <w:rPr>
          <w:rFonts w:ascii="Calibri" w:cs="Calibri" w:eastAsia="Calibri" w:hAnsi="Calibri"/>
          <w:b/>
          <w:bCs/>
          <w:color w:val="004422"/>
          <w:sz w:val="24"/>
          <w:szCs w:val="24"/>
        </w:rPr>
        <w:t xml:space="preserve">VII.1 Synthèse des résultats</w:t>
      </w:r>
    </w:p>
    <w:p>
      <w:pPr>
        <w:spacing w:before="80" w:after="80"/>
        <w:ind w:firstLine="360"/>
        <w:jc w:val="both"/>
      </w:pPr>
      <w:r>
        <w:rPr>
          <w:rFonts w:ascii="Calibri" w:cs="Calibri" w:eastAsia="Calibri" w:hAnsi="Calibri"/>
          <w:color w:val="2C2C2C"/>
          <w:sz w:val="22"/>
          <w:szCs w:val="22"/>
        </w:rPr>
        <w:t xml:space="preserve">Le modèle XGBoost développé dans le cadre de ce projet permet d'anticiper 75 % des opinions d'audit modifiées (Recall = 0,75) avec une précision de 65 % et une capacité discriminante mesurée à 0,86 (ROC-AUC). Ces performances positionnent ce radar de risque comme un outil opérationnellement utilisable par les équipes d'audit, en complément — et non en substitution — du jugement professionnel de l'auditeur. Les facteurs explicatifs identifiés valident et quantifient mathématiquement l'intuition des commissaires aux comptes : une mauvaise rentabilité couplée à une instabilité managériale constitue le schéma le plus prédictif d'une opinion modifiée.</w:t>
      </w:r>
    </w:p>
    <w:p>
      <w:pPr>
        <w:pStyle w:val="Heading2"/>
        <w:spacing w:before="240" w:after="120"/>
      </w:pPr>
      <w:r>
        <w:rPr>
          <w:rFonts w:ascii="Calibri" w:cs="Calibri" w:eastAsia="Calibri" w:hAnsi="Calibri"/>
          <w:b/>
          <w:bCs/>
          <w:color w:val="004422"/>
          <w:sz w:val="24"/>
          <w:szCs w:val="24"/>
        </w:rPr>
        <w:t xml:space="preserve">VII.2 Limites et perspectives</w:t>
      </w:r>
    </w:p>
    <w:p>
      <w:pPr>
        <w:spacing w:before="200" w:after="80"/>
      </w:pPr>
      <w:r>
        <w:rPr>
          <w:rFonts w:ascii="Calibri" w:cs="Calibri" w:eastAsia="Calibri" w:hAnsi="Calibri"/>
          <w:b/>
          <w:bCs/>
          <w:color w:val="2C2C2C"/>
          <w:sz w:val="22"/>
          <w:szCs w:val="22"/>
        </w:rPr>
        <w:t xml:space="preserve">Limites identifiées</w:t>
      </w:r>
    </w:p>
    <w:p>
      <w:pPr>
        <w:pStyle w:val="ListParagraph"/>
        <w:numPr>
          <w:ilvl w:val="0"/>
          <w:numId w:val="2"/>
        </w:numPr>
        <w:spacing w:before="60" w:after="60"/>
      </w:pPr>
      <w:r>
        <w:rPr>
          <w:rFonts w:ascii="Calibri" w:cs="Calibri" w:eastAsia="Calibri" w:hAnsi="Calibri"/>
          <w:color w:val="2C2C2C"/>
          <w:sz w:val="22"/>
          <w:szCs w:val="22"/>
        </w:rPr>
        <w:t xml:space="preserve">Le modèle présente des difficultés à détecter les réserves issues de fraudes complexes ou de litiges juridiques soudains — événements exogènes aux états financiers relevant de l'ordre des « cygnes noirs ».</w:t>
      </w:r>
    </w:p>
    <w:p>
      <w:pPr>
        <w:pStyle w:val="ListParagraph"/>
        <w:numPr>
          <w:ilvl w:val="0"/>
          <w:numId w:val="2"/>
        </w:numPr>
        <w:spacing w:before="60" w:after="60"/>
      </w:pPr>
      <w:r>
        <w:rPr>
          <w:rFonts w:ascii="Calibri" w:cs="Calibri" w:eastAsia="Calibri" w:hAnsi="Calibri"/>
          <w:color w:val="2C2C2C"/>
          <w:sz w:val="22"/>
          <w:szCs w:val="22"/>
        </w:rPr>
        <w:t xml:space="preserve">L'analyse demeure exclusivement quantitative et ne prend pas en compte la qualité rédactionnelle de l'annexe aux états financiers, source d'indices cruciale en audit.</w:t>
      </w:r>
    </w:p>
    <w:p>
      <w:pPr>
        <w:spacing w:before="60" w:after="60"/>
      </w:pPr>
      <w:r>
        <w:t xml:space="preserve"/>
      </w:r>
    </w:p>
    <w:p>
      <w:pPr>
        <w:spacing w:before="200" w:after="80"/>
      </w:pPr>
      <w:r>
        <w:rPr>
          <w:rFonts w:ascii="Calibri" w:cs="Calibri" w:eastAsia="Calibri" w:hAnsi="Calibri"/>
          <w:b/>
          <w:bCs/>
          <w:color w:val="2C2C2C"/>
          <w:sz w:val="22"/>
          <w:szCs w:val="22"/>
        </w:rPr>
        <w:t xml:space="preserve">Perspectives d'amélioration</w:t>
      </w:r>
    </w:p>
    <w:p>
      <w:pPr>
        <w:pStyle w:val="ListParagraph"/>
        <w:numPr>
          <w:ilvl w:val="0"/>
          <w:numId w:val="2"/>
        </w:numPr>
        <w:spacing w:before="60" w:after="60"/>
      </w:pPr>
      <w:r>
        <w:rPr>
          <w:rFonts w:ascii="Calibri" w:cs="Calibri" w:eastAsia="Calibri" w:hAnsi="Calibri"/>
          <w:color w:val="2C2C2C"/>
          <w:sz w:val="22"/>
          <w:szCs w:val="22"/>
        </w:rPr>
        <w:t xml:space="preserve">Traitement du Langage Naturel (NLP) : intégrer l'analyse de sentiment sur les procès-verbaux de conseils d'administration, les rapports de gestion et les articles de presse pour capter le risque réputationnel en amont.</w:t>
      </w:r>
    </w:p>
    <w:p>
      <w:pPr>
        <w:pStyle w:val="ListParagraph"/>
        <w:numPr>
          <w:ilvl w:val="0"/>
          <w:numId w:val="2"/>
        </w:numPr>
        <w:spacing w:before="60" w:after="60"/>
      </w:pPr>
      <w:r>
        <w:rPr>
          <w:rFonts w:ascii="Calibri" w:cs="Calibri" w:eastAsia="Calibri" w:hAnsi="Calibri"/>
          <w:color w:val="2C2C2C"/>
          <w:sz w:val="22"/>
          <w:szCs w:val="22"/>
        </w:rPr>
        <w:t xml:space="preserve">Text Mining : analyser syntaxiquement les Notes aux états financiers des exercices précédents pour détecter des formulations inhabituelles précédant l'émission de réserves.</w:t>
      </w:r>
    </w:p>
    <w:p>
      <w:pPr>
        <w:pStyle w:val="ListParagraph"/>
        <w:numPr>
          <w:ilvl w:val="0"/>
          <w:numId w:val="2"/>
        </w:numPr>
        <w:spacing w:before="60" w:after="60"/>
      </w:pPr>
      <w:r>
        <w:rPr>
          <w:rFonts w:ascii="Calibri" w:cs="Calibri" w:eastAsia="Calibri" w:hAnsi="Calibri"/>
          <w:color w:val="2C2C2C"/>
          <w:sz w:val="22"/>
          <w:szCs w:val="22"/>
        </w:rPr>
        <w:t xml:space="preserve">Modèles de séries temporelles : exploiter la dimension panel du jeu de données pour modéliser la trajectoire financière de chaque entité au-delà de la photographie statique annuelle.</w:t>
      </w:r>
    </w:p>
    <w:p>
      <w:pPr>
        <w:pStyle w:val="Heading2"/>
        <w:spacing w:before="240" w:after="120"/>
      </w:pPr>
      <w:r>
        <w:rPr>
          <w:rFonts w:ascii="Calibri" w:cs="Calibri" w:eastAsia="Calibri" w:hAnsi="Calibri"/>
          <w:b/>
          <w:bCs/>
          <w:color w:val="004422"/>
          <w:sz w:val="24"/>
          <w:szCs w:val="24"/>
        </w:rPr>
        <w:t xml:space="preserve">VII.3 Recommandations stratégiques</w:t>
      </w:r>
    </w:p>
    <w:p>
      <w:pPr>
        <w:spacing w:before="80" w:after="80"/>
        <w:ind w:firstLine="360"/>
        <w:jc w:val="both"/>
      </w:pPr>
      <w:r>
        <w:rPr>
          <w:rFonts w:ascii="Calibri" w:cs="Calibri" w:eastAsia="Calibri" w:hAnsi="Calibri"/>
          <w:color w:val="2C2C2C"/>
          <w:sz w:val="22"/>
          <w:szCs w:val="22"/>
        </w:rPr>
        <w:t xml:space="preserve">À destination des organes de direction cherchant à sécuriser la certification de leurs comptes :</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Domaine d'action</w:t>
            </w:r>
          </w:p>
        </w:tc>
        <w:tc>
          <w:tcPr>
            <w:tcW w:type="dxa" w:w="6200"/>
            <w:tcBorders>
              <w:top w:val="single" w:color="CCCCCC" w:sz="1"/>
              <w:left w:val="single" w:color="CCCCCC" w:sz="1"/>
              <w:bottom w:val="single" w:color="CCCCCC" w:sz="1"/>
              <w:right w:val="single" w:color="CCCCCC" w:sz="1"/>
            </w:tcBorders>
            <w:shd w:fill="006633"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Recommandation opérationnelle</w:t>
            </w:r>
          </w:p>
        </w:tc>
      </w:tr>
      <w:tr>
        <w:tc>
          <w:tcPr>
            <w:tcW w:type="dxa" w:w="28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Stabilité de la gouvernance</w:t>
            </w:r>
          </w:p>
        </w:tc>
        <w:tc>
          <w:tcPr>
            <w:tcW w:type="dxa" w:w="62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Pérenniser les équipes financières avant la clôture annuelle. La rotation du DAF en fin d'exercice justifie des sur-contrôles de l'auditeur et augmente statistiquement le risque de réserve.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Transparence financière</w:t>
            </w:r>
          </w:p>
        </w:tc>
        <w:tc>
          <w:tcPr>
            <w:tcW w:type="dxa" w:w="6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Anticiper les dépréciations et restructurations dès le troisième trimestre (Q3). Les entreprises qui retardent ces publications pour masquer des pertes concentrent les opinions modifiées en fin d'année.</w:t>
            </w:r>
          </w:p>
        </w:tc>
      </w:tr>
      <w:tr>
        <w:tc>
          <w:tcPr>
            <w:tcW w:type="dxa" w:w="28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bCs/>
                <w:color w:val="004422"/>
                <w:sz w:val="20"/>
                <w:szCs w:val="20"/>
              </w:rPr>
              <w:t xml:space="preserve">Dialogue avec l'Auditeur</w:t>
            </w:r>
          </w:p>
        </w:tc>
        <w:tc>
          <w:tcPr>
            <w:tcW w:type="dxa" w:w="6200"/>
            <w:tcBorders>
              <w:top w:val="single" w:color="CCCCCC" w:sz="1"/>
              <w:left w:val="single" w:color="CCCCCC" w:sz="1"/>
              <w:bottom w:val="single" w:color="CCCCCC" w:sz="1"/>
              <w:right w:val="single" w:color="CCCCCC" w:sz="1"/>
            </w:tcBorders>
            <w:shd w:fill="F2F7F4" w:val="clear"/>
            <w:tcMar>
              <w:top w:type="dxa" w:w="90"/>
              <w:left w:type="dxa" w:w="150"/>
              <w:bottom w:type="dxa" w:w="90"/>
              <w:right w:type="dxa" w:w="150"/>
            </w:tcMar>
            <w:vAlign w:val="center"/>
          </w:tcPr>
          <w:p>
            <w:r>
              <w:rPr>
                <w:rFonts w:ascii="Calibri" w:cs="Calibri" w:eastAsia="Calibri" w:hAnsi="Calibri"/>
                <w:b w:val="false"/>
                <w:bCs w:val="false"/>
                <w:color w:val="2C2C2C"/>
                <w:sz w:val="20"/>
                <w:szCs w:val="20"/>
              </w:rPr>
              <w:t xml:space="preserve">Informer l'Associé signataire de tout bris de covenant bancaire bien en amont de la clôture, afin d'éviter la qualification d'un doute sur la continuité d'exploitation en dernière minute.</w:t>
            </w:r>
          </w:p>
        </w:tc>
      </w:tr>
    </w:tbl>
    <w:p>
      <w:pPr>
        <w:spacing w:before="60" w:after="200"/>
        <w:jc w:val="center"/>
      </w:pPr>
      <w:r>
        <w:rPr>
          <w:rFonts w:ascii="Calibri" w:cs="Calibri" w:eastAsia="Calibri" w:hAnsi="Calibri"/>
          <w:i/>
          <w:iCs/>
          <w:color w:val="888888"/>
          <w:sz w:val="18"/>
          <w:szCs w:val="18"/>
        </w:rPr>
        <w:t xml:space="preserve">Tableau 5 : Recommandations stratégiques issues de l'analyse prédictive</w:t>
      </w:r>
    </w:p>
    <w:p>
      <w:pPr>
        <w:spacing w:before="60" w:after="60"/>
      </w:pPr>
      <w:r>
        <w:t xml:space="preserve"/>
      </w:r>
    </w:p>
    <w:p>
      <w:pPr>
        <w:spacing w:before="80" w:after="80"/>
        <w:ind w:firstLine="360"/>
        <w:jc w:val="both"/>
      </w:pPr>
      <w:r>
        <w:rPr>
          <w:rFonts w:ascii="Calibri" w:cs="Calibri" w:eastAsia="Calibri" w:hAnsi="Calibri"/>
          <w:color w:val="2C2C2C"/>
          <w:sz w:val="22"/>
          <w:szCs w:val="22"/>
        </w:rPr>
        <w:t xml:space="preserve">En définitive, ce projet illustre comment la Data Science, loin de remplacer l'auditeur, enrichit considérablement son arsenal méthodologique. L'intelligence artificielle permet de systématiser et de quantifier des signaux d'alerte que l'expérience professionnelle identifiait de manière intuitive, tout en révélant des interactions entre variables que l'analyse traditionnelle aurait difficilement formalisées. La convergence entre expertise comptable et Machine Learning représente l'une des évolutions les plus prometteuses de la profession d'auditeur pour la décennie à venir.</w:t>
      </w:r>
    </w:p>
    <w:p>
      <w:pPr>
        <w:spacing w:before="0" w:after="0"/>
      </w:pPr>
      <w:r>
        <w:br w:type="page"/>
      </w:r>
    </w:p>
    <w:p>
      <w:pPr>
        <w:pStyle w:val="Heading1"/>
        <w:pBdr>
          <w:bottom w:val="single" w:color="006633" w:sz="4" w:space="1"/>
        </w:pBdr>
        <w:spacing w:before="360" w:after="160"/>
      </w:pPr>
      <w:r>
        <w:rPr>
          <w:rFonts w:ascii="Calibri" w:cs="Calibri" w:eastAsia="Calibri" w:hAnsi="Calibri"/>
          <w:b/>
          <w:bCs/>
          <w:color w:val="006633"/>
          <w:sz w:val="28"/>
          <w:szCs w:val="28"/>
        </w:rPr>
        <w:t xml:space="preserve">Bibliographie / Webographie</w:t>
      </w:r>
    </w:p>
    <w:p>
      <w:pPr>
        <w:spacing w:before="80" w:after="80"/>
        <w:jc w:val="both"/>
      </w:pPr>
      <w:r>
        <w:rPr>
          <w:rFonts w:ascii="Calibri" w:cs="Calibri" w:eastAsia="Calibri" w:hAnsi="Calibri"/>
          <w:color w:val="2C2C2C"/>
          <w:sz w:val="22"/>
          <w:szCs w:val="22"/>
        </w:rPr>
        <w:t xml:space="preserve">Altman, E.I. (1968). Financial Ratios, Discriminant Analysis and the Prediction of Corporate Bankruptcy. Journal of Finance, 23(4), 589–609.</w:t>
      </w:r>
    </w:p>
    <w:p>
      <w:pPr>
        <w:spacing w:before="60" w:after="60"/>
      </w:pPr>
      <w:r>
        <w:t xml:space="preserve"/>
      </w:r>
    </w:p>
    <w:p>
      <w:pPr>
        <w:spacing w:before="80" w:after="80"/>
        <w:jc w:val="both"/>
      </w:pPr>
      <w:r>
        <w:rPr>
          <w:rFonts w:ascii="Calibri" w:cs="Calibri" w:eastAsia="Calibri" w:hAnsi="Calibri"/>
          <w:color w:val="2C2C2C"/>
          <w:sz w:val="22"/>
          <w:szCs w:val="22"/>
        </w:rPr>
        <w:t xml:space="preserve">Becker, C.L., DeFond, M.L., Jiambalvo, J., &amp; Subramanyam, K.R. (1998). The effect of audit quality on earnings management. Contemporary Accounting Research, 15(1), 1–24.</w:t>
      </w:r>
    </w:p>
    <w:p>
      <w:pPr>
        <w:spacing w:before="60" w:after="60"/>
      </w:pPr>
      <w:r>
        <w:t xml:space="preserve"/>
      </w:r>
    </w:p>
    <w:p>
      <w:pPr>
        <w:spacing w:before="80" w:after="80"/>
        <w:jc w:val="both"/>
      </w:pPr>
      <w:r>
        <w:rPr>
          <w:rFonts w:ascii="Calibri" w:cs="Calibri" w:eastAsia="Calibri" w:hAnsi="Calibri"/>
          <w:color w:val="2C2C2C"/>
          <w:sz w:val="22"/>
          <w:szCs w:val="22"/>
        </w:rPr>
        <w:t xml:space="preserve">Chen, T., &amp; Guestrin, C. (2016). XGBoost: A Scalable Tree Boosting System. Proceedings of the 22nd ACM SIGKDD, 785–794.</w:t>
      </w:r>
    </w:p>
    <w:p>
      <w:pPr>
        <w:spacing w:before="60" w:after="60"/>
      </w:pPr>
      <w:r>
        <w:t xml:space="preserve"/>
      </w:r>
    </w:p>
    <w:p>
      <w:pPr>
        <w:spacing w:before="80" w:after="80"/>
        <w:jc w:val="both"/>
      </w:pPr>
      <w:r>
        <w:rPr>
          <w:rFonts w:ascii="Calibri" w:cs="Calibri" w:eastAsia="Calibri" w:hAnsi="Calibri"/>
          <w:color w:val="2C2C2C"/>
          <w:sz w:val="22"/>
          <w:szCs w:val="22"/>
        </w:rPr>
        <w:t xml:space="preserve">Chawla, N.V., Bowyer, K.W., Hall, L.O., &amp; Kegelmeyer, W.P. (2002). SMOTE: Synthetic Minority Over-sampling Technique. Journal of Artificial Intelligence Research, 16, 321–357.</w:t>
      </w:r>
    </w:p>
    <w:p>
      <w:pPr>
        <w:spacing w:before="60" w:after="60"/>
      </w:pPr>
      <w:r>
        <w:t xml:space="preserve"/>
      </w:r>
    </w:p>
    <w:p>
      <w:pPr>
        <w:spacing w:before="80" w:after="80"/>
        <w:jc w:val="both"/>
      </w:pPr>
      <w:r>
        <w:rPr>
          <w:rFonts w:ascii="Calibri" w:cs="Calibri" w:eastAsia="Calibri" w:hAnsi="Calibri"/>
          <w:color w:val="2C2C2C"/>
          <w:sz w:val="22"/>
          <w:szCs w:val="22"/>
        </w:rPr>
        <w:t xml:space="preserve">Lundberg, S.M., &amp; Lee, S-I. (2017). A Unified Approach to Interpreting Model Predictions. Advances in Neural Information Processing Systems, 30.</w:t>
      </w:r>
    </w:p>
    <w:p>
      <w:pPr>
        <w:spacing w:before="60" w:after="60"/>
      </w:pPr>
      <w:r>
        <w:t xml:space="preserve"/>
      </w:r>
    </w:p>
    <w:p>
      <w:pPr>
        <w:spacing w:before="80" w:after="80"/>
        <w:jc w:val="both"/>
      </w:pPr>
      <w:r>
        <w:rPr>
          <w:rFonts w:ascii="Calibri" w:cs="Calibri" w:eastAsia="Calibri" w:hAnsi="Calibri"/>
          <w:color w:val="2C2C2C"/>
          <w:sz w:val="22"/>
          <w:szCs w:val="22"/>
        </w:rPr>
        <w:t xml:space="preserve">Pedregosa, F. et al. (2011). Scikit-learn: Machine Learning in Python. Journal of Machine Learning Research, 12, 2825–2830.</w:t>
      </w:r>
    </w:p>
    <w:p>
      <w:pPr>
        <w:spacing w:before="60" w:after="60"/>
      </w:pPr>
      <w:r>
        <w:t xml:space="preserve"/>
      </w:r>
    </w:p>
    <w:p>
      <w:pPr>
        <w:spacing w:before="80" w:after="80"/>
        <w:jc w:val="both"/>
      </w:pPr>
      <w:r>
        <w:rPr>
          <w:rFonts w:ascii="Calibri" w:cs="Calibri" w:eastAsia="Calibri" w:hAnsi="Calibri"/>
          <w:color w:val="2C2C2C"/>
          <w:sz w:val="22"/>
          <w:szCs w:val="22"/>
        </w:rPr>
        <w:t xml:space="preserve">Ordre des Experts Comptables du Maroc (2023). Normes d'audit applicables au Maroc. Disponible sur : www.oecmaroc.com</w:t>
      </w:r>
    </w:p>
    <w:p>
      <w:pPr>
        <w:spacing w:before="60" w:after="60"/>
      </w:pPr>
      <w:r>
        <w:t xml:space="preserve"/>
      </w:r>
    </w:p>
    <w:p>
      <w:pPr>
        <w:spacing w:before="80" w:after="80"/>
        <w:jc w:val="both"/>
      </w:pPr>
      <w:r>
        <w:rPr>
          <w:rFonts w:ascii="Calibri" w:cs="Calibri" w:eastAsia="Calibri" w:hAnsi="Calibri"/>
          <w:color w:val="2C2C2C"/>
          <w:sz w:val="22"/>
          <w:szCs w:val="22"/>
        </w:rPr>
        <w:t xml:space="preserve">IFAC (2022). Handbook of International Standards on Auditing. Disponible sur : www.ifac.org</w:t>
      </w:r>
    </w:p>
    <w:sectPr>
      <w:headerReference w:type="default" r:id="rId6"/>
      <w:footerReference w:type="default" r:id="rId7"/>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633" w:sz="4" w:space="1"/>
      </w:pBdr>
      <w:spacing w:before="120"/>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33" w:sz="4" w:space="1"/>
      </w:pBdr>
      <w:spacing w:after="120"/>
    </w:pPr>
    <w:r>
      <w:rPr>
        <w:rFonts w:ascii="Calibri" w:cs="Calibri" w:eastAsia="Calibri" w:hAnsi="Calibri"/>
        <w:color w:val="888888"/>
        <w:sz w:val="18"/>
        <w:szCs w:val="18"/>
      </w:rPr>
      <w:t xml:space="preserve">ENCG Settat — CAC L3 S8 | Audit Prédictif &amp; Machine Learning —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006633"/>
      <w:sz w:val="28"/>
      <w:szCs w:val="28"/>
    </w:rPr>
  </w:style>
  <w:style w:type="paragraph" w:styleId="Heading2">
    <w:name w:val="Heading 2"/>
    <w:basedOn w:val="Normal"/>
    <w:next w:val="Normal"/>
    <w:qFormat/>
    <w:pPr>
      <w:spacing w:before="240" w:after="120"/>
      <w:outlineLvl w:val="1"/>
    </w:pPr>
    <w:rPr>
      <w:rFonts w:ascii="Calibri" w:cs="Calibri" w:eastAsia="Calibri" w:hAnsi="Calibri"/>
      <w:b/>
      <w:bCs/>
      <w:color w:val="0044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2026-03-17T14:32:25.595Z</dcterms:created>
  <dcterms:modified xsi:type="dcterms:W3CDTF">2026-03-17T14:32:25.596Z</dcterms:modified>
</cp:coreProperties>
</file>

<file path=docProps/custom.xml><?xml version="1.0" encoding="utf-8"?>
<Properties xmlns="http://schemas.openxmlformats.org/officeDocument/2006/custom-properties" xmlns:vt="http://schemas.openxmlformats.org/officeDocument/2006/docPropsVTypes"/>
</file>