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440" w:line="348" w:lineRule="auto"/>
        <w:jc w:val="center"/>
      </w:pPr>
      <w:r>
        <w:rPr>
          <w:rFonts w:ascii="NanumSquare" w:hAnsi="NanumSquare" w:eastAsia="NanumSquare"/>
          <w:b/>
          <w:color w:val="1F4E79"/>
          <w:sz w:val="48"/>
        </w:rPr>
        <w:t>훈련수요 적합성 분석보고서</w:t>
      </w:r>
    </w:p>
    <w:p>
      <w:pPr>
        <w:spacing w:after="360" w:before="0" w:line="348" w:lineRule="auto"/>
        <w:jc w:val="center"/>
      </w:pPr>
      <w:r>
        <w:rPr>
          <w:rFonts w:ascii="NanumSquare" w:hAnsi="NanumSquare" w:eastAsia="NanumSquare"/>
          <w:b w:val="0"/>
          <w:color w:val="666666"/>
          <w:sz w:val="24"/>
        </w:rPr>
        <w:t>교육받을 기업체 및 중장년 구직자 수요조사 기반</w:t>
      </w:r>
    </w:p>
    <w:tbl>
      <w:tblPr>
        <w:tblW w:type="auto" w:w="0"/>
        <w:jc w:val="center"/>
        <w:tblLayout w:type="fixed"/>
        <w:tblLook w:firstColumn="1" w:firstRow="1" w:lastColumn="0" w:lastRow="0" w:noHBand="0" w:noVBand="1" w:val="04A0"/>
      </w:tblPr>
      <w:tblGrid>
        <w:gridCol w:w="9144"/>
      </w:tblGrid>
      <w:tr>
        <w:tc>
          <w:tcPr>
            <w:tcW w:type="dxa" w:w="10166"/>
            <w:shd w:fill="1F4E79"/>
            <w:tcMar>
              <w:top w:w="100" w:type="dxa"/>
              <w:start w:w="140" w:type="dxa"/>
              <w:bottom w:w="100" w:type="dxa"/>
              <w:end w:w="140" w:type="dxa"/>
            </w:tcMar>
            <w:tcBorders>
              <w:top w:val="single" w:sz="6" w:color="A6BBCB"/>
              <w:left w:val="single" w:sz="6" w:color="A6BBCB"/>
              <w:bottom w:val="single" w:sz="6" w:color="A6BBCB"/>
              <w:right w:val="single" w:sz="6" w:color="A6BBCB"/>
            </w:tcBorders>
          </w:tcPr>
          <w:p>
            <w:pPr>
              <w:spacing w:after="0" w:before="0" w:line="240" w:lineRule="auto"/>
            </w:pPr>
            <w:r>
              <w:rPr>
                <w:rFonts w:ascii="NanumSquare" w:hAnsi="NanumSquare" w:eastAsia="NanumSquare"/>
                <w:b/>
                <w:color w:val="FFFFFF"/>
                <w:sz w:val="21"/>
              </w:rPr>
              <w:t>대상 훈련과정</w:t>
            </w:r>
          </w:p>
        </w:tc>
      </w:tr>
      <w:tr>
        <w:tc>
          <w:tcPr>
            <w:tcW w:type="dxa" w:w="10166"/>
            <w:shd w:fill="F5F8FA"/>
            <w:tcMar>
              <w:top w:w="140" w:type="dxa"/>
              <w:start w:w="160" w:type="dxa"/>
              <w:bottom w:w="140" w:type="dxa"/>
              <w:end w:w="160" w:type="dxa"/>
            </w:tcMar>
            <w:tcBorders>
              <w:top w:val="single" w:sz="6" w:color="A6BBCB"/>
              <w:left w:val="single" w:sz="6" w:color="A6BBCB"/>
              <w:bottom w:val="single" w:sz="6" w:color="A6BBCB"/>
              <w:right w:val="single" w:sz="6" w:color="A6BBCB"/>
            </w:tcBorders>
          </w:tcPr>
          <w:p>
            <w:pPr>
              <w:spacing w:after="0" w:before="0" w:line="360" w:lineRule="auto"/>
            </w:pPr>
            <w:r>
              <w:rPr>
                <w:rFonts w:ascii="NanumSquare" w:hAnsi="NanumSquare" w:eastAsia="NanumSquare"/>
                <w:b w:val="0"/>
                <w:color w:val="222222"/>
                <w:sz w:val="20"/>
              </w:rPr>
              <w:t>(산대특) 디지털 전환(AI활용) 제조·생산 데이터관리 실무(중장년특화)_지원</w:t>
            </w:r>
          </w:p>
        </w:tc>
      </w:tr>
    </w:tbl>
    <w:p>
      <w:pPr>
        <w:spacing w:after="0"/>
      </w:pPr>
    </w:p>
    <w:p>
      <w:pPr>
        <w:spacing w:after="280" w:before="200" w:line="348" w:lineRule="auto"/>
        <w:jc w:val="center"/>
      </w:pPr>
      <w:r>
        <w:rPr>
          <w:rFonts w:ascii="NanumSquare" w:hAnsi="NanumSquare" w:eastAsia="NanumSquare"/>
          <w:b/>
          <w:color w:val="222222"/>
          <w:sz w:val="22"/>
        </w:rPr>
        <w:t>광주지역 제조업체 20개사 · 중장년 구직자 및 이·전직 희망자 40명</w:t>
      </w:r>
    </w:p>
    <w:tbl>
      <w:tblPr>
        <w:tblW w:type="auto" w:w="0"/>
        <w:jc w:val="center"/>
        <w:tblLayout w:type="fixed"/>
        <w:tblLook w:firstColumn="1" w:firstRow="1" w:lastColumn="0" w:lastRow="0" w:noHBand="0" w:noVBand="1" w:val="04A0"/>
      </w:tblPr>
      <w:tblGrid>
        <w:gridCol w:w="3389"/>
        <w:gridCol w:w="3389"/>
        <w:gridCol w:w="3389"/>
      </w:tblGrid>
      <w:tr>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90.0%</w:t>
            </w:r>
            <w:r>
              <w:br/>
            </w:r>
            <w:r>
              <w:rPr>
                <w:rFonts w:ascii="NanumSquare" w:hAnsi="NanumSquare" w:eastAsia="NanumSquare"/>
                <w:b w:val="0"/>
                <w:color w:val="666666"/>
                <w:sz w:val="19"/>
              </w:rPr>
              <w:t>자동화·디지털 시스템 활용</w:t>
            </w:r>
          </w:p>
        </w:tc>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85.0%</w:t>
            </w:r>
            <w:r>
              <w:br/>
            </w:r>
            <w:r>
              <w:rPr>
                <w:rFonts w:ascii="NanumSquare" w:hAnsi="NanumSquare" w:eastAsia="NanumSquare"/>
                <w:b w:val="0"/>
                <w:color w:val="666666"/>
                <w:sz w:val="19"/>
              </w:rPr>
              <w:t>제조데이터 중요성 상승 전망</w:t>
            </w:r>
          </w:p>
        </w:tc>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75.0%</w:t>
            </w:r>
            <w:r>
              <w:br/>
            </w:r>
            <w:r>
              <w:rPr>
                <w:rFonts w:ascii="NanumSquare" w:hAnsi="NanumSquare" w:eastAsia="NanumSquare"/>
                <w:b w:val="0"/>
                <w:color w:val="666666"/>
                <w:sz w:val="19"/>
              </w:rPr>
              <w:t>중장년 관리지원 활용 의향</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72.5%</w:t>
            </w:r>
            <w:r>
              <w:br/>
            </w:r>
            <w:r>
              <w:rPr>
                <w:rFonts w:ascii="NanumSquare" w:hAnsi="NanumSquare" w:eastAsia="NanumSquare"/>
                <w:b w:val="0"/>
                <w:color w:val="666666"/>
                <w:sz w:val="19"/>
              </w:rPr>
              <w:t>관리지원 직무전환 의향</w:t>
            </w:r>
          </w:p>
        </w:tc>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82.5%</w:t>
            </w:r>
            <w:r>
              <w:br/>
            </w:r>
            <w:r>
              <w:rPr>
                <w:rFonts w:ascii="NanumSquare" w:hAnsi="NanumSquare" w:eastAsia="NanumSquare"/>
                <w:b w:val="0"/>
                <w:color w:val="666666"/>
                <w:sz w:val="19"/>
              </w:rPr>
              <w:t>AI 활용 교육 필요</w:t>
            </w:r>
          </w:p>
        </w:tc>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77.5%</w:t>
            </w:r>
            <w:r>
              <w:br/>
            </w:r>
            <w:r>
              <w:rPr>
                <w:rFonts w:ascii="NanumSquare" w:hAnsi="NanumSquare" w:eastAsia="NanumSquare"/>
                <w:b w:val="0"/>
                <w:color w:val="666666"/>
                <w:sz w:val="19"/>
              </w:rPr>
              <w:t>교육과정 참여 의향</w:t>
            </w:r>
          </w:p>
        </w:tc>
      </w:tr>
    </w:tbl>
    <w:p>
      <w:pPr>
        <w:spacing w:after="0"/>
      </w:pPr>
    </w:p>
    <w:p>
      <w:pPr>
        <w:keepNext/>
        <w:spacing w:after="160" w:before="160" w:line="348" w:lineRule="auto"/>
      </w:pPr>
      <w:r>
        <w:rPr>
          <w:rFonts w:ascii="NanumSquare" w:hAnsi="NanumSquare" w:eastAsia="NanumSquare"/>
          <w:b/>
          <w:color w:val="1F4E79"/>
          <w:sz w:val="25"/>
        </w:rPr>
        <w:t>조사에서 확인된 핵심</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기업은 생산계획·실적, 품질·불량, 재고 등 제조데이터를 다룰 수 있는 실무역량을 중요하게 보고 있다.</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중장년 구직자는 제조현장 경험을 보유한 경우가 많지만 엑셀, 데이터 정리·분석, AI 활용 등 디지털 업무역량에서 부담을 느끼고 있다.</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현장 이해를 바탕으로 데이터 관리와 문서업무를 수행할 수 있는 인력에 대한 기업 수요와 중장년의 직무전환 수요가 함께 확인됐다.</w:t>
      </w:r>
    </w:p>
    <w:p>
      <w:pPr>
        <w:spacing w:after="0" w:before="320" w:line="348" w:lineRule="auto"/>
        <w:jc w:val="right"/>
      </w:pPr>
      <w:r>
        <w:rPr>
          <w:rFonts w:ascii="NanumSquare" w:hAnsi="NanumSquare" w:eastAsia="NanumSquare"/>
          <w:b w:val="0"/>
          <w:color w:val="666666"/>
          <w:sz w:val="18"/>
        </w:rPr>
        <w:t>작성 기준: 기관 자체 수요조사 결과</w:t>
      </w:r>
    </w:p>
    <w:p>
      <w:r>
        <w:br w:type="page"/>
      </w:r>
    </w:p>
    <w:p>
      <w:pPr>
        <w:keepNext/>
        <w:spacing w:after="160" w:before="160" w:line="348" w:lineRule="auto"/>
        <w:pBdr>
          <w:bottom w:val="single" w:sz="12" w:space="4" w:color="1F4E79"/>
        </w:pBdr>
      </w:pPr>
      <w:r>
        <w:rPr>
          <w:rFonts w:ascii="NanumSquare" w:hAnsi="NanumSquare" w:eastAsia="NanumSquare"/>
          <w:b/>
          <w:color w:val="1F4E79"/>
          <w:sz w:val="32"/>
        </w:rPr>
        <w:t>1. 조사 개요</w:t>
      </w:r>
    </w:p>
    <w:p>
      <w:pPr>
        <w:spacing w:after="100" w:before="0" w:line="372" w:lineRule="auto"/>
      </w:pPr>
      <w:r>
        <w:rPr>
          <w:rFonts w:ascii="NanumSquare" w:hAnsi="NanumSquare" w:eastAsia="NanumSquare"/>
          <w:b w:val="0"/>
          <w:color w:val="222222"/>
          <w:sz w:val="21"/>
        </w:rPr>
        <w:t>광주지역 제조업체와 중장년 구직자·이전직 희망자를 대상으로 생산·품질·제조데이터 관리 업무의 변화, 기업이 요구하는 실무능력, 중장년의 직무전환 의향과 교육수요를 확인했다. 조사 결과는 훈련내용과 실습구성의 근거자료로 활용했다.</w:t>
      </w:r>
    </w:p>
    <w:tbl>
      <w:tblPr>
        <w:tblW w:type="auto" w:w="0"/>
        <w:jc w:val="center"/>
        <w:tblLayout w:type="fixed"/>
        <w:tblLook w:firstColumn="1" w:firstRow="1" w:lastColumn="0" w:lastRow="0" w:noHBand="0" w:noVBand="1" w:val="04A0"/>
      </w:tblPr>
      <w:tblGrid>
        <w:gridCol w:w="5083"/>
        <w:gridCol w:w="5083"/>
      </w:tblGrid>
      <w:tr>
        <w:tc>
          <w:tcPr>
            <w:tcW w:type="dxa" w:w="5083"/>
            <w:tcMar>
              <w:top w:w="100" w:type="dxa"/>
              <w:start w:w="120" w:type="dxa"/>
              <w:bottom w:w="100" w:type="dxa"/>
              <w:end w:w="120" w:type="dxa"/>
            </w:tcMar>
            <w:vAlign w:val="center"/>
            <w:shd w:fill="1F4E79"/>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color w:val="FFFFFF"/>
                <w:sz w:val="19"/>
              </w:rPr>
              <w:t>구분</w:t>
            </w:r>
          </w:p>
        </w:tc>
        <w:tc>
          <w:tcPr>
            <w:tcW w:type="dxa" w:w="5083"/>
            <w:tcMar>
              <w:top w:w="100" w:type="dxa"/>
              <w:start w:w="120" w:type="dxa"/>
              <w:bottom w:w="100" w:type="dxa"/>
              <w:end w:w="120" w:type="dxa"/>
            </w:tcMar>
            <w:vAlign w:val="center"/>
            <w:shd w:fill="1F4E79"/>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color w:val="FFFFFF"/>
                <w:sz w:val="19"/>
              </w:rPr>
              <w:t>내용</w:t>
            </w:r>
          </w:p>
        </w:tc>
      </w:tr>
      <w:tr>
        <w:tc>
          <w:tcPr>
            <w:tcW w:type="dxa" w:w="5083"/>
            <w:tcMar>
              <w:top w:w="100" w:type="dxa"/>
              <w:start w:w="120" w:type="dxa"/>
              <w:bottom w:w="100" w:type="dxa"/>
              <w:end w:w="120" w:type="dxa"/>
            </w:tcMar>
            <w:vAlign w:val="center"/>
            <w:shd w:fill="EAF1F6"/>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color w:val="222222"/>
                <w:sz w:val="19"/>
              </w:rPr>
              <w:t>기업체 조사</w:t>
            </w:r>
          </w:p>
        </w:tc>
        <w:tc>
          <w:tcPr>
            <w:tcW w:type="dxa" w:w="5083"/>
            <w:tcMar>
              <w:top w:w="100" w:type="dxa"/>
              <w:start w:w="120" w:type="dxa"/>
              <w:bottom w:w="100" w:type="dxa"/>
              <w:end w:w="120" w:type="dxa"/>
            </w:tcMar>
            <w:vAlign w:val="center"/>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val="0"/>
                <w:color w:val="222222"/>
                <w:sz w:val="19"/>
              </w:rPr>
              <w:t>광주지역 제조업체 20개사</w:t>
            </w:r>
          </w:p>
        </w:tc>
      </w:tr>
      <w:tr>
        <w:tc>
          <w:tcPr>
            <w:tcW w:type="dxa" w:w="5083"/>
            <w:tcMar>
              <w:top w:w="100" w:type="dxa"/>
              <w:start w:w="120" w:type="dxa"/>
              <w:bottom w:w="100" w:type="dxa"/>
              <w:end w:w="120" w:type="dxa"/>
            </w:tcMar>
            <w:vAlign w:val="center"/>
            <w:shd w:fill="EAF1F6"/>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color w:val="222222"/>
                <w:sz w:val="19"/>
              </w:rPr>
              <w:t>구직자 조사</w:t>
            </w:r>
          </w:p>
        </w:tc>
        <w:tc>
          <w:tcPr>
            <w:tcW w:type="dxa" w:w="5083"/>
            <w:tcMar>
              <w:top w:w="100" w:type="dxa"/>
              <w:start w:w="120" w:type="dxa"/>
              <w:bottom w:w="100" w:type="dxa"/>
              <w:end w:w="120" w:type="dxa"/>
            </w:tcMar>
            <w:vAlign w:val="center"/>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val="0"/>
                <w:color w:val="222222"/>
                <w:sz w:val="19"/>
              </w:rPr>
              <w:t>광주지역 중장년 구직자 및 이전직 희망자 40명</w:t>
            </w:r>
          </w:p>
        </w:tc>
      </w:tr>
      <w:tr>
        <w:tc>
          <w:tcPr>
            <w:tcW w:type="dxa" w:w="5083"/>
            <w:tcMar>
              <w:top w:w="100" w:type="dxa"/>
              <w:start w:w="120" w:type="dxa"/>
              <w:bottom w:w="100" w:type="dxa"/>
              <w:end w:w="120" w:type="dxa"/>
            </w:tcMar>
            <w:vAlign w:val="center"/>
            <w:shd w:fill="EAF1F6"/>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color w:val="222222"/>
                <w:sz w:val="19"/>
              </w:rPr>
              <w:t>주요 확인사항</w:t>
            </w:r>
          </w:p>
        </w:tc>
        <w:tc>
          <w:tcPr>
            <w:tcW w:type="dxa" w:w="5083"/>
            <w:tcMar>
              <w:top w:w="100" w:type="dxa"/>
              <w:start w:w="120" w:type="dxa"/>
              <w:bottom w:w="100" w:type="dxa"/>
              <w:end w:w="120" w:type="dxa"/>
            </w:tcMar>
            <w:vAlign w:val="center"/>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val="0"/>
                <w:color w:val="222222"/>
                <w:sz w:val="19"/>
              </w:rPr>
              <w:t>제조업 디지털 전환, 생산·품질 관리업무, 제조데이터 관리, 엑셀·ERP·MES·AI 활용, 직무전환 및 교육 참여 수요</w:t>
            </w:r>
          </w:p>
        </w:tc>
      </w:tr>
      <w:tr>
        <w:tc>
          <w:tcPr>
            <w:tcW w:type="dxa" w:w="5083"/>
            <w:tcMar>
              <w:top w:w="100" w:type="dxa"/>
              <w:start w:w="120" w:type="dxa"/>
              <w:bottom w:w="100" w:type="dxa"/>
              <w:end w:w="120" w:type="dxa"/>
            </w:tcMar>
            <w:vAlign w:val="center"/>
            <w:shd w:fill="EAF1F6"/>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color w:val="222222"/>
                <w:sz w:val="19"/>
              </w:rPr>
              <w:t>활용 목적</w:t>
            </w:r>
          </w:p>
        </w:tc>
        <w:tc>
          <w:tcPr>
            <w:tcW w:type="dxa" w:w="5083"/>
            <w:tcMar>
              <w:top w:w="100" w:type="dxa"/>
              <w:start w:w="120" w:type="dxa"/>
              <w:bottom w:w="100" w:type="dxa"/>
              <w:end w:w="120" w:type="dxa"/>
            </w:tcMar>
            <w:vAlign w:val="center"/>
            <w:tcBorders>
              <w:top w:val="single" w:sz="5" w:color="B7C9D6"/>
              <w:left w:val="single" w:sz="5" w:color="B7C9D6"/>
              <w:bottom w:val="single" w:sz="5" w:color="B7C9D6"/>
              <w:right w:val="single" w:sz="5" w:color="B7C9D6"/>
            </w:tcBorders>
          </w:tcPr>
          <w:p>
            <w:pPr>
              <w:spacing w:after="0" w:before="0" w:line="324" w:lineRule="auto"/>
            </w:pPr>
            <w:r>
              <w:rPr>
                <w:rFonts w:ascii="NanumSquare" w:hAnsi="NanumSquare" w:eastAsia="NanumSquare"/>
                <w:b w:val="0"/>
                <w:color w:val="222222"/>
                <w:sz w:val="19"/>
              </w:rPr>
              <w:t>훈련교과 편성, 실습방향 설정, 직무전환 목표 구체화</w:t>
            </w:r>
          </w:p>
        </w:tc>
      </w:tr>
    </w:tbl>
    <w:p/>
    <w:p>
      <w:pPr>
        <w:keepNext/>
        <w:spacing w:after="160" w:before="160" w:line="348" w:lineRule="auto"/>
        <w:pBdr>
          <w:bottom w:val="single" w:sz="12" w:space="4" w:color="1F4E79"/>
        </w:pBdr>
      </w:pPr>
      <w:r>
        <w:rPr>
          <w:rFonts w:ascii="NanumSquare" w:hAnsi="NanumSquare" w:eastAsia="NanumSquare"/>
          <w:b/>
          <w:color w:val="1F4E79"/>
          <w:sz w:val="32"/>
        </w:rPr>
        <w:t>2. 산업 변화와 훈련수요 확인 배경</w:t>
      </w:r>
    </w:p>
    <w:p>
      <w:pPr>
        <w:spacing w:after="100" w:before="0" w:line="372" w:lineRule="auto"/>
      </w:pPr>
      <w:r>
        <w:rPr>
          <w:rFonts w:ascii="NanumSquare" w:hAnsi="NanumSquare" w:eastAsia="NanumSquare"/>
          <w:b w:val="0"/>
          <w:color w:val="222222"/>
          <w:sz w:val="21"/>
        </w:rPr>
        <w:t>수요조사 초안에 제시된 한국고용정보원 연구에서는 기계·금속 제조업의 디지털전환이 자동화, 연결성, 지능화 방향으로 진행되고 있으며 생산설비 분야의 자동화 수준이 상대적으로 높은 것으로 제시돼 있다. 직무구조 역시 단순생산·생산기능 중심에서 생산기술 중심으로 이동하는 흐름이 언급됐다.</w:t>
      </w:r>
    </w:p>
    <w:p>
      <w:pPr>
        <w:spacing w:after="100" w:before="0" w:line="372" w:lineRule="auto"/>
      </w:pPr>
      <w:r>
        <w:rPr>
          <w:rFonts w:ascii="NanumSquare" w:hAnsi="NanumSquare" w:eastAsia="NanumSquare"/>
          <w:b w:val="0"/>
          <w:color w:val="222222"/>
          <w:sz w:val="21"/>
        </w:rPr>
        <w:t>전기·전자 제조업 관련 연구에서는 디지털전환 과정에서 생산직뿐 아니라 사무직에도 더 높은 수준의 직무역량이 요구되는 것으로 제시됐다. 수요조사 초안에는 2024년 말 기준 10인 이상 전기·전자 제조업의 디지털전환 대응 직업훈련 필요인원이 150,264명, 전체 근로자의 30.2% 수준으로 기재돼 있다.</w:t>
      </w:r>
    </w:p>
    <w:tbl>
      <w:tblPr>
        <w:tblW w:type="auto" w:w="0"/>
        <w:jc w:val="center"/>
        <w:tblLayout w:type="fixed"/>
        <w:tblLook w:firstColumn="1" w:firstRow="1" w:lastColumn="0" w:lastRow="0" w:noHBand="0" w:noVBand="1" w:val="04A0"/>
      </w:tblPr>
      <w:tblGrid>
        <w:gridCol w:w="9144"/>
      </w:tblGrid>
      <w:tr>
        <w:tc>
          <w:tcPr>
            <w:tcW w:type="dxa" w:w="10166"/>
            <w:shd w:fill="1F4E79"/>
            <w:tcMar>
              <w:top w:w="100" w:type="dxa"/>
              <w:start w:w="140" w:type="dxa"/>
              <w:bottom w:w="100" w:type="dxa"/>
              <w:end w:w="140" w:type="dxa"/>
            </w:tcMar>
            <w:tcBorders>
              <w:top w:val="single" w:sz="6" w:color="A6BBCB"/>
              <w:left w:val="single" w:sz="6" w:color="A6BBCB"/>
              <w:bottom w:val="single" w:sz="6" w:color="A6BBCB"/>
              <w:right w:val="single" w:sz="6" w:color="A6BBCB"/>
            </w:tcBorders>
          </w:tcPr>
          <w:p>
            <w:pPr>
              <w:spacing w:after="0" w:before="0" w:line="240" w:lineRule="auto"/>
            </w:pPr>
            <w:r>
              <w:rPr>
                <w:rFonts w:ascii="NanumSquare" w:hAnsi="NanumSquare" w:eastAsia="NanumSquare"/>
                <w:b/>
                <w:color w:val="FFFFFF"/>
                <w:sz w:val="21"/>
              </w:rPr>
              <w:t>수요조사 관점</w:t>
            </w:r>
          </w:p>
        </w:tc>
      </w:tr>
      <w:tr>
        <w:tc>
          <w:tcPr>
            <w:tcW w:type="dxa" w:w="10166"/>
            <w:shd w:fill="F5F8FA"/>
            <w:tcMar>
              <w:top w:w="140" w:type="dxa"/>
              <w:start w:w="160" w:type="dxa"/>
              <w:bottom w:w="140" w:type="dxa"/>
              <w:end w:w="160" w:type="dxa"/>
            </w:tcMar>
            <w:tcBorders>
              <w:top w:val="single" w:sz="6" w:color="A6BBCB"/>
              <w:left w:val="single" w:sz="6" w:color="A6BBCB"/>
              <w:bottom w:val="single" w:sz="6" w:color="A6BBCB"/>
              <w:right w:val="single" w:sz="6" w:color="A6BBCB"/>
            </w:tcBorders>
          </w:tcPr>
          <w:p>
            <w:pPr>
              <w:spacing w:after="0" w:before="0" w:line="360" w:lineRule="auto"/>
            </w:pPr>
            <w:r>
              <w:rPr>
                <w:rFonts w:ascii="NanumSquare" w:hAnsi="NanumSquare" w:eastAsia="NanumSquare"/>
                <w:b w:val="0"/>
                <w:color w:val="222222"/>
                <w:sz w:val="20"/>
              </w:rPr>
              <w:t>자동화 설비의 확대만으로 현장업무가 끝나는 것이 아니라 생산실적, 품질, 공정, 재고 등 생산 과정에서 발생하는 정보를 기록·정리·확인하는 관리업무의 비중도 커지고 있는지를 기업체 조사로 확인했다.</w:t>
            </w:r>
          </w:p>
        </w:tc>
      </w:tr>
    </w:tbl>
    <w:p>
      <w:pPr>
        <w:spacing w:after="0"/>
      </w:pPr>
    </w:p>
    <w:p>
      <w:pPr>
        <w:spacing w:after="0" w:before="160" w:line="348" w:lineRule="auto"/>
      </w:pPr>
      <w:r>
        <w:rPr>
          <w:rFonts w:ascii="NanumSquare" w:hAnsi="NanumSquare" w:eastAsia="NanumSquare"/>
          <w:b w:val="0"/>
          <w:color w:val="666666"/>
          <w:sz w:val="17"/>
        </w:rPr>
        <w:t>자료 표기: 한국고용정보원 「기계·금속 제조업의 일자리전환 실태 연구」(2026), 「전기·전자 제조업의 디지털전환과 숙련변화 연구」(2026) — 수요조사 초안 기재 내용 기준</w:t>
      </w:r>
    </w:p>
    <w:p>
      <w:r>
        <w:br w:type="page"/>
      </w:r>
    </w:p>
    <w:p>
      <w:pPr>
        <w:keepNext/>
        <w:spacing w:after="160" w:before="160" w:line="348" w:lineRule="auto"/>
        <w:pBdr>
          <w:bottom w:val="single" w:sz="12" w:space="4" w:color="1F4E79"/>
        </w:pBdr>
      </w:pPr>
      <w:r>
        <w:rPr>
          <w:rFonts w:ascii="NanumSquare" w:hAnsi="NanumSquare" w:eastAsia="NanumSquare"/>
          <w:b/>
          <w:color w:val="1F4E79"/>
          <w:sz w:val="32"/>
        </w:rPr>
        <w:t>3. 제조업체 수요 분석</w:t>
      </w:r>
    </w:p>
    <w:p>
      <w:pPr>
        <w:spacing w:after="100" w:before="0" w:line="372" w:lineRule="auto"/>
      </w:pPr>
      <w:r>
        <w:rPr>
          <w:rFonts w:ascii="NanumSquare" w:hAnsi="NanumSquare" w:eastAsia="NanumSquare"/>
          <w:b w:val="0"/>
          <w:color w:val="222222"/>
          <w:sz w:val="21"/>
        </w:rPr>
        <w:t>응답기업 20개사 중 18개사(90.0%)가 자동화 설비 또는 디지털 생산관리 시스템을 일부 공정 이상에서 활용하고 있었다. 디지털 기반 생산관리 환경이 이미 상당수 사업장에 들어와 있다는 점을 확인할 수 있다.</w:t>
      </w:r>
    </w:p>
    <w:tbl>
      <w:tblPr>
        <w:tblW w:type="auto" w:w="0"/>
        <w:jc w:val="center"/>
        <w:tblLayout w:type="fixed"/>
        <w:tblLook w:firstColumn="1" w:firstRow="1" w:lastColumn="0" w:lastRow="0" w:noHBand="0" w:noVBand="1" w:val="04A0"/>
      </w:tblPr>
      <w:tblGrid>
        <w:gridCol w:w="3389"/>
        <w:gridCol w:w="3389"/>
        <w:gridCol w:w="3389"/>
      </w:tblGrid>
      <w:tr>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90.0%</w:t>
            </w:r>
            <w:r>
              <w:br/>
            </w:r>
            <w:r>
              <w:rPr>
                <w:rFonts w:ascii="NanumSquare" w:hAnsi="NanumSquare" w:eastAsia="NanumSquare"/>
                <w:b w:val="0"/>
                <w:color w:val="666666"/>
                <w:sz w:val="19"/>
              </w:rPr>
              <w:t>자동화·디지털 시스템 일부 이상 활용</w:t>
            </w:r>
          </w:p>
        </w:tc>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85.0%</w:t>
            </w:r>
            <w:r>
              <w:br/>
            </w:r>
            <w:r>
              <w:rPr>
                <w:rFonts w:ascii="NanumSquare" w:hAnsi="NanumSquare" w:eastAsia="NanumSquare"/>
                <w:b w:val="0"/>
                <w:color w:val="666666"/>
                <w:sz w:val="19"/>
              </w:rPr>
              <w:t>향후 제조데이터 관리 중요성 상승</w:t>
            </w:r>
          </w:p>
        </w:tc>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75.0%</w:t>
            </w:r>
            <w:r>
              <w:br/>
            </w:r>
            <w:r>
              <w:rPr>
                <w:rFonts w:ascii="NanumSquare" w:hAnsi="NanumSquare" w:eastAsia="NanumSquare"/>
                <w:b w:val="0"/>
                <w:color w:val="666666"/>
                <w:sz w:val="19"/>
              </w:rPr>
              <w:t>중장년 관리지원 업무 활용 의향</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Borders>
              <w:top w:val="nil"/>
              <w:left w:val="nil"/>
              <w:bottom w:val="nil"/>
              <w:right w:val="nil"/>
            </w:tcBorders>
          </w:tcPr>
          <w:p>
            <w:pPr>
              <w:jc w:val="center"/>
            </w:pPr>
            <w:r>
              <w:drawing>
                <wp:inline xmlns:a="http://schemas.openxmlformats.org/drawingml/2006/main" xmlns:pic="http://schemas.openxmlformats.org/drawingml/2006/picture">
                  <wp:extent cx="2907792" cy="1617485"/>
                  <wp:docPr id="1" name="Picture 1"/>
                  <wp:cNvGraphicFramePr>
                    <a:graphicFrameLocks noChangeAspect="1"/>
                  </wp:cNvGraphicFramePr>
                  <a:graphic>
                    <a:graphicData uri="http://schemas.openxmlformats.org/drawingml/2006/picture">
                      <pic:pic>
                        <pic:nvPicPr>
                          <pic:cNvPr id="0" name="company_work.png"/>
                          <pic:cNvPicPr/>
                        </pic:nvPicPr>
                        <pic:blipFill>
                          <a:blip r:embed="rId10"/>
                          <a:stretch>
                            <a:fillRect/>
                          </a:stretch>
                        </pic:blipFill>
                        <pic:spPr>
                          <a:xfrm>
                            <a:off x="0" y="0"/>
                            <a:ext cx="2907792" cy="1617485"/>
                          </a:xfrm>
                          <a:prstGeom prst="rect"/>
                        </pic:spPr>
                      </pic:pic>
                    </a:graphicData>
                  </a:graphic>
                </wp:inline>
              </w:drawing>
            </w:r>
          </w:p>
        </w:tc>
        <w:tc>
          <w:tcPr>
            <w:tcW w:type="dxa" w:w="5083"/>
            <w:tcBorders>
              <w:top w:val="nil"/>
              <w:left w:val="nil"/>
              <w:bottom w:val="nil"/>
              <w:right w:val="nil"/>
            </w:tcBorders>
          </w:tcPr>
          <w:p>
            <w:pPr>
              <w:jc w:val="center"/>
            </w:pPr>
            <w:r>
              <w:drawing>
                <wp:inline xmlns:a="http://schemas.openxmlformats.org/drawingml/2006/main" xmlns:pic="http://schemas.openxmlformats.org/drawingml/2006/picture">
                  <wp:extent cx="2907792" cy="1617485"/>
                  <wp:docPr id="2" name="Picture 2"/>
                  <wp:cNvGraphicFramePr>
                    <a:graphicFrameLocks noChangeAspect="1"/>
                  </wp:cNvGraphicFramePr>
                  <a:graphic>
                    <a:graphicData uri="http://schemas.openxmlformats.org/drawingml/2006/picture">
                      <pic:pic>
                        <pic:nvPicPr>
                          <pic:cNvPr id="0" name="company_hire.png"/>
                          <pic:cNvPicPr/>
                        </pic:nvPicPr>
                        <pic:blipFill>
                          <a:blip r:embed="rId11"/>
                          <a:stretch>
                            <a:fillRect/>
                          </a:stretch>
                        </pic:blipFill>
                        <pic:spPr>
                          <a:xfrm>
                            <a:off x="0" y="0"/>
                            <a:ext cx="2907792" cy="1617485"/>
                          </a:xfrm>
                          <a:prstGeom prst="rect"/>
                        </pic:spPr>
                      </pic:pic>
                    </a:graphicData>
                  </a:graphic>
                </wp:inline>
              </w:drawing>
            </w:r>
          </w:p>
        </w:tc>
      </w:tr>
    </w:tbl>
    <w:p>
      <w:pPr>
        <w:keepNext/>
        <w:spacing w:after="160" w:before="160" w:line="348" w:lineRule="auto"/>
      </w:pPr>
      <w:r>
        <w:rPr>
          <w:rFonts w:ascii="NanumSquare" w:hAnsi="NanumSquare" w:eastAsia="NanumSquare"/>
          <w:b/>
          <w:color w:val="1F4E79"/>
          <w:sz w:val="25"/>
        </w:rPr>
        <w:t>기업체 응답에서 드러난 요구</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업무 중요도는 생산계획·생산실적 관리 85.0%, 품질·불량 데이터 관리 80.0%가 가장 높았다. 자재·재고 관리와 엑셀 데이터 정리·분석도 각각 70.0%였다.</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채용 시에는 제조현장·공정 이해 90.0%, 생산·품질 데이터 관리 80.0%, 엑셀 활용 75.0% 순으로 높았다. 현장경험과 데이터 처리 능력을 함께 보는 경향이 뚜렷하다.</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ERP·MES 활용 경험 55.0%, 보고서·문서작성 능력 65.0%로 조사돼 생산관리·품질관리 지원업무가 데이터 입력만이 아니라 시스템 사용과 기록·보고까지 이어지는 업무임을 보여준다.</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AI 활용 능력은 40.0%로 엑셀·데이터 관리보다 낮았지만, 기존 업무를 보조하는 추가역량으로는 일정한 수요가 확인됐다.</w:t>
      </w:r>
    </w:p>
    <w:p>
      <w:r>
        <w:br w:type="page"/>
      </w:r>
    </w:p>
    <w:p>
      <w:pPr>
        <w:keepNext/>
        <w:spacing w:after="160" w:before="160" w:line="348" w:lineRule="auto"/>
        <w:pBdr>
          <w:bottom w:val="single" w:sz="12" w:space="4" w:color="1F4E79"/>
        </w:pBdr>
      </w:pPr>
      <w:r>
        <w:rPr>
          <w:rFonts w:ascii="NanumSquare" w:hAnsi="NanumSquare" w:eastAsia="NanumSquare"/>
          <w:b/>
          <w:color w:val="1F4E79"/>
          <w:sz w:val="32"/>
        </w:rPr>
        <w:t>4. 중장년 구직자 수요 분석</w:t>
      </w:r>
    </w:p>
    <w:p>
      <w:pPr>
        <w:spacing w:after="100" w:before="0" w:line="372" w:lineRule="auto"/>
      </w:pPr>
      <w:r>
        <w:rPr>
          <w:rFonts w:ascii="NanumSquare" w:hAnsi="NanumSquare" w:eastAsia="NanumSquare"/>
          <w:b w:val="0"/>
          <w:color w:val="222222"/>
          <w:sz w:val="21"/>
        </w:rPr>
        <w:t>구직자 40명 가운데 제조업 또는 생산현장 경험 보유자는 32명(80.0%)이었다. 3년 이상 경력자는 21명(52.5%)으로 절반을 넘었다. 생산현장 경험을 새로운 관리지원 업무에 연결할 수 있는 대상층이 적지 않은 것으로 나타났다.</w:t>
      </w:r>
    </w:p>
    <w:tbl>
      <w:tblPr>
        <w:tblW w:type="auto" w:w="0"/>
        <w:jc w:val="center"/>
        <w:tblLayout w:type="fixed"/>
        <w:tblLook w:firstColumn="1" w:firstRow="1" w:lastColumn="0" w:lastRow="0" w:noHBand="0" w:noVBand="1" w:val="04A0"/>
      </w:tblPr>
      <w:tblGrid>
        <w:gridCol w:w="3389"/>
        <w:gridCol w:w="3389"/>
        <w:gridCol w:w="3389"/>
      </w:tblGrid>
      <w:tr>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80.0%</w:t>
            </w:r>
            <w:r>
              <w:br/>
            </w:r>
            <w:r>
              <w:rPr>
                <w:rFonts w:ascii="NanumSquare" w:hAnsi="NanumSquare" w:eastAsia="NanumSquare"/>
                <w:b w:val="0"/>
                <w:color w:val="666666"/>
                <w:sz w:val="19"/>
              </w:rPr>
              <w:t>제조업·생산현장 경험 보유</w:t>
            </w:r>
          </w:p>
        </w:tc>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72.5%</w:t>
            </w:r>
            <w:r>
              <w:br/>
            </w:r>
            <w:r>
              <w:rPr>
                <w:rFonts w:ascii="NanumSquare" w:hAnsi="NanumSquare" w:eastAsia="NanumSquare"/>
                <w:b w:val="0"/>
                <w:color w:val="666666"/>
                <w:sz w:val="19"/>
              </w:rPr>
              <w:t>관리지원 업무 직무전환 의향</w:t>
            </w:r>
          </w:p>
        </w:tc>
        <w:tc>
          <w:tcPr>
            <w:tcW w:type="dxa" w:w="2976"/>
            <w:shd w:fill="EDF4F8"/>
            <w:tcMar>
              <w:top w:w="140" w:type="dxa"/>
              <w:start w:w="100" w:type="dxa"/>
              <w:bottom w:w="140" w:type="dxa"/>
              <w:end w:w="100" w:type="dxa"/>
            </w:tcMar>
            <w:vAlign w:val="center"/>
            <w:tcBorders>
              <w:top w:val="single" w:sz="8" w:color="9EBCD2"/>
              <w:left w:val="single" w:sz="8" w:color="9EBCD2"/>
              <w:bottom w:val="single" w:sz="8" w:color="9EBCD2"/>
              <w:right w:val="single" w:sz="8" w:color="9EBCD2"/>
            </w:tcBorders>
          </w:tcPr>
          <w:p>
            <w:pPr>
              <w:spacing w:after="0" w:before="0" w:line="240" w:lineRule="auto"/>
              <w:jc w:val="center"/>
            </w:pPr>
            <w:r>
              <w:rPr>
                <w:rFonts w:ascii="NanumSquare" w:hAnsi="NanumSquare" w:eastAsia="NanumSquare"/>
                <w:b/>
                <w:color w:val="1F4E79"/>
                <w:sz w:val="36"/>
              </w:rPr>
              <w:t>72.5%</w:t>
            </w:r>
            <w:r>
              <w:br/>
            </w:r>
            <w:r>
              <w:rPr>
                <w:rFonts w:ascii="NanumSquare" w:hAnsi="NanumSquare" w:eastAsia="NanumSquare"/>
                <w:b w:val="0"/>
                <w:color w:val="666666"/>
                <w:sz w:val="19"/>
              </w:rPr>
              <w:t>엑셀 제조데이터 관리 어려움</w:t>
            </w:r>
          </w:p>
        </w:tc>
      </w:tr>
    </w:tbl>
    <w:p>
      <w:pPr>
        <w:spacing w:after="0"/>
      </w:pPr>
    </w:p>
    <w:tbl>
      <w:tblPr>
        <w:tblW w:type="auto" w:w="0"/>
        <w:jc w:val="center"/>
        <w:tblLook w:firstColumn="1" w:firstRow="1" w:lastColumn="0" w:lastRow="0" w:noHBand="0" w:noVBand="1" w:val="04A0"/>
      </w:tblPr>
      <w:tblGrid>
        <w:gridCol w:w="5083"/>
        <w:gridCol w:w="5083"/>
      </w:tblGrid>
      <w:tr>
        <w:tc>
          <w:tcPr>
            <w:tcW w:type="dxa" w:w="5083"/>
            <w:tcBorders>
              <w:top w:val="nil"/>
              <w:left w:val="nil"/>
              <w:bottom w:val="nil"/>
              <w:right w:val="nil"/>
            </w:tcBorders>
          </w:tcPr>
          <w:p>
            <w:pPr>
              <w:jc w:val="center"/>
            </w:pPr>
            <w:r>
              <w:drawing>
                <wp:inline xmlns:a="http://schemas.openxmlformats.org/drawingml/2006/main" xmlns:pic="http://schemas.openxmlformats.org/drawingml/2006/picture">
                  <wp:extent cx="2907792" cy="1617485"/>
                  <wp:docPr id="3" name="Picture 3"/>
                  <wp:cNvGraphicFramePr>
                    <a:graphicFrameLocks noChangeAspect="1"/>
                  </wp:cNvGraphicFramePr>
                  <a:graphic>
                    <a:graphicData uri="http://schemas.openxmlformats.org/drawingml/2006/picture">
                      <pic:pic>
                        <pic:nvPicPr>
                          <pic:cNvPr id="0" name="jobseeker_gap.png"/>
                          <pic:cNvPicPr/>
                        </pic:nvPicPr>
                        <pic:blipFill>
                          <a:blip r:embed="rId12"/>
                          <a:stretch>
                            <a:fillRect/>
                          </a:stretch>
                        </pic:blipFill>
                        <pic:spPr>
                          <a:xfrm>
                            <a:off x="0" y="0"/>
                            <a:ext cx="2907792" cy="1617485"/>
                          </a:xfrm>
                          <a:prstGeom prst="rect"/>
                        </pic:spPr>
                      </pic:pic>
                    </a:graphicData>
                  </a:graphic>
                </wp:inline>
              </w:drawing>
            </w:r>
          </w:p>
        </w:tc>
        <w:tc>
          <w:tcPr>
            <w:tcW w:type="dxa" w:w="5083"/>
            <w:tcBorders>
              <w:top w:val="nil"/>
              <w:left w:val="nil"/>
              <w:bottom w:val="nil"/>
              <w:right w:val="nil"/>
            </w:tcBorders>
          </w:tcPr>
          <w:p>
            <w:pPr>
              <w:jc w:val="center"/>
            </w:pPr>
            <w:r>
              <w:drawing>
                <wp:inline xmlns:a="http://schemas.openxmlformats.org/drawingml/2006/main" xmlns:pic="http://schemas.openxmlformats.org/drawingml/2006/picture">
                  <wp:extent cx="2907792" cy="1617485"/>
                  <wp:docPr id="4" name="Picture 4"/>
                  <wp:cNvGraphicFramePr>
                    <a:graphicFrameLocks noChangeAspect="1"/>
                  </wp:cNvGraphicFramePr>
                  <a:graphic>
                    <a:graphicData uri="http://schemas.openxmlformats.org/drawingml/2006/picture">
                      <pic:pic>
                        <pic:nvPicPr>
                          <pic:cNvPr id="0" name="jobseeker_core.png"/>
                          <pic:cNvPicPr/>
                        </pic:nvPicPr>
                        <pic:blipFill>
                          <a:blip r:embed="rId13"/>
                          <a:stretch>
                            <a:fillRect/>
                          </a:stretch>
                        </pic:blipFill>
                        <pic:spPr>
                          <a:xfrm>
                            <a:off x="0" y="0"/>
                            <a:ext cx="2907792" cy="1617485"/>
                          </a:xfrm>
                          <a:prstGeom prst="rect"/>
                        </pic:spPr>
                      </pic:pic>
                    </a:graphicData>
                  </a:graphic>
                </wp:inline>
              </w:drawing>
            </w:r>
          </w:p>
        </w:tc>
      </w:tr>
    </w:tbl>
    <w:p>
      <w:pPr>
        <w:keepNext/>
        <w:spacing w:after="160" w:before="160" w:line="348" w:lineRule="auto"/>
      </w:pPr>
      <w:r>
        <w:rPr>
          <w:rFonts w:ascii="NanumSquare" w:hAnsi="NanumSquare" w:eastAsia="NanumSquare"/>
          <w:b/>
          <w:color w:val="1F4E79"/>
          <w:sz w:val="25"/>
        </w:rPr>
        <w:t>직무전환의 걸림돌</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관리지원 업무로 옮길 때 부족하다고 느끼는 능력은 엑셀 활용 75.0%, AI 활용 70.0%, 생산·품질 데이터 정리 67.5%, 생산실적·불량률 분석 62.5% 순이었다.</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생산실적·불량·재고 데이터를 엑셀로 정리·분석하는 작업에 72.5%가 어렵다고 응답했다. 제조현장 경험만으로는 관리지원 직무 수행이 쉽지 않다는 점이 드러난다.</w:t>
      </w:r>
    </w:p>
    <w:p>
      <w:pPr>
        <w:spacing w:after="40" w:before="0" w:line="336" w:lineRule="auto"/>
        <w:ind w:left="259" w:hanging="173"/>
      </w:pPr>
      <w:r>
        <w:rPr>
          <w:rFonts w:ascii="NanumSquare" w:hAnsi="NanumSquare" w:eastAsia="NanumSquare"/>
          <w:b/>
          <w:color w:val="1F4E79"/>
          <w:sz w:val="21"/>
        </w:rPr>
        <w:t xml:space="preserve">• </w:t>
      </w:r>
      <w:r>
        <w:rPr>
          <w:rFonts w:ascii="NanumSquare" w:hAnsi="NanumSquare" w:eastAsia="NanumSquare"/>
          <w:b w:val="0"/>
          <w:color w:val="222222"/>
          <w:sz w:val="21"/>
        </w:rPr>
        <w:t>AI를 활용한 엑셀·데이터 분석·보고서 작성 교육은 82.5%가 필요하다고 답했고, 제조데이터 관리와 AI 활용을 결합한 교육과정에는 77.5%가 참여 의향을 보였다.</w:t>
      </w:r>
    </w:p>
    <w:tbl>
      <w:tblPr>
        <w:tblW w:type="auto" w:w="0"/>
        <w:jc w:val="center"/>
        <w:tblLayout w:type="fixed"/>
        <w:tblLook w:firstColumn="1" w:firstRow="1" w:lastColumn="0" w:lastRow="0" w:noHBand="0" w:noVBand="1" w:val="04A0"/>
      </w:tblPr>
      <w:tblGrid>
        <w:gridCol w:w="9144"/>
      </w:tblGrid>
      <w:tr>
        <w:tc>
          <w:tcPr>
            <w:tcW w:type="dxa" w:w="10166"/>
            <w:shd w:fill="1F4E79"/>
            <w:tcMar>
              <w:top w:w="100" w:type="dxa"/>
              <w:start w:w="140" w:type="dxa"/>
              <w:bottom w:w="100" w:type="dxa"/>
              <w:end w:w="140" w:type="dxa"/>
            </w:tcMar>
            <w:tcBorders>
              <w:top w:val="single" w:sz="6" w:color="A6BBCB"/>
              <w:left w:val="single" w:sz="6" w:color="A6BBCB"/>
              <w:bottom w:val="single" w:sz="6" w:color="A6BBCB"/>
              <w:right w:val="single" w:sz="6" w:color="A6BBCB"/>
            </w:tcBorders>
          </w:tcPr>
          <w:p>
            <w:pPr>
              <w:spacing w:after="0" w:before="0" w:line="240" w:lineRule="auto"/>
            </w:pPr>
            <w:r>
              <w:rPr>
                <w:rFonts w:ascii="NanumSquare" w:hAnsi="NanumSquare" w:eastAsia="NanumSquare"/>
                <w:b/>
                <w:color w:val="FFFFFF"/>
                <w:sz w:val="21"/>
              </w:rPr>
              <w:t>해석</w:t>
            </w:r>
          </w:p>
        </w:tc>
      </w:tr>
      <w:tr>
        <w:tc>
          <w:tcPr>
            <w:tcW w:type="dxa" w:w="10166"/>
            <w:shd w:fill="F5F8FA"/>
            <w:tcMar>
              <w:top w:w="140" w:type="dxa"/>
              <w:start w:w="160" w:type="dxa"/>
              <w:bottom w:w="140" w:type="dxa"/>
              <w:end w:w="160" w:type="dxa"/>
            </w:tcMar>
            <w:tcBorders>
              <w:top w:val="single" w:sz="6" w:color="A6BBCB"/>
              <w:left w:val="single" w:sz="6" w:color="A6BBCB"/>
              <w:bottom w:val="single" w:sz="6" w:color="A6BBCB"/>
              <w:right w:val="single" w:sz="6" w:color="A6BBCB"/>
            </w:tcBorders>
          </w:tcPr>
          <w:p>
            <w:pPr>
              <w:spacing w:after="0" w:before="0" w:line="360" w:lineRule="auto"/>
            </w:pPr>
            <w:r>
              <w:rPr>
                <w:rFonts w:ascii="NanumSquare" w:hAnsi="NanumSquare" w:eastAsia="NanumSquare"/>
                <w:b w:val="0"/>
                <w:color w:val="222222"/>
                <w:sz w:val="20"/>
              </w:rPr>
              <w:t>중장년 대상 훈련은 새로운 제조기술을 처음부터 가르치는 방식보다 기존 현장경험을 활용하면서 엑셀, 데이터 정리·분석, 문서작성, AI 보조 활용을 보강하는 방향이 직무전환 수요와 더 잘 맞는다.</w:t>
            </w:r>
          </w:p>
        </w:tc>
      </w:tr>
    </w:tbl>
    <w:p>
      <w:pPr>
        <w:spacing w:after="0"/>
      </w:pPr>
    </w:p>
    <w:p>
      <w:r>
        <w:br w:type="page"/>
      </w:r>
    </w:p>
    <w:p>
      <w:pPr>
        <w:keepNext/>
        <w:spacing w:after="160" w:before="160" w:line="348" w:lineRule="auto"/>
        <w:pBdr>
          <w:bottom w:val="single" w:sz="12" w:space="4" w:color="1F4E79"/>
        </w:pBdr>
      </w:pPr>
      <w:r>
        <w:rPr>
          <w:rFonts w:ascii="NanumSquare" w:hAnsi="NanumSquare" w:eastAsia="NanumSquare"/>
          <w:b/>
          <w:color w:val="1F4E79"/>
          <w:sz w:val="32"/>
        </w:rPr>
        <w:t>5. 요구분석 및 훈련과정 반영</w:t>
      </w:r>
    </w:p>
    <w:p>
      <w:pPr>
        <w:spacing w:after="100" w:before="0" w:line="372" w:lineRule="auto"/>
      </w:pPr>
      <w:r>
        <w:rPr>
          <w:rFonts w:ascii="NanumSquare" w:hAnsi="NanumSquare" w:eastAsia="NanumSquare"/>
          <w:b w:val="0"/>
          <w:color w:val="222222"/>
          <w:sz w:val="21"/>
        </w:rPr>
        <w:t>기업체 조사와 구직자 조사를 나란히 보면 요구가 맞닿는 지점이 분명하다. 기업은 제조공정 이해와 생산·품질 데이터 관리, 엑셀, 문서작성 능력을 요구하고 있으며, 중장년 구직자는 바로 이 영역을 직무전환 과정에서 부족한 능력으로 꼽았다.</w:t>
      </w:r>
    </w:p>
    <w:tbl>
      <w:tblPr>
        <w:tblW w:type="auto" w:w="0"/>
        <w:jc w:val="center"/>
        <w:tblLayout w:type="fixed"/>
        <w:tblLook w:firstColumn="1" w:firstRow="1" w:lastColumn="0" w:lastRow="0" w:noHBand="0" w:noVBand="1" w:val="04A0"/>
      </w:tblPr>
      <w:tblGrid>
        <w:gridCol w:w="3816"/>
        <w:gridCol w:w="5400"/>
      </w:tblGrid>
      <w:tr>
        <w:tc>
          <w:tcPr>
            <w:tcW w:type="dxa" w:w="5083"/>
            <w:tcMar>
              <w:top w:w="90" w:type="dxa"/>
              <w:start w:w="110" w:type="dxa"/>
              <w:bottom w:w="90" w:type="dxa"/>
              <w:end w:w="110" w:type="dxa"/>
            </w:tcMar>
            <w:vAlign w:val="center"/>
            <w:shd w:fill="1F4E79"/>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color w:val="FFFFFF"/>
                <w:sz w:val="18"/>
              </w:rPr>
              <w:t>수요조사에서 확인된 내용</w:t>
            </w:r>
          </w:p>
        </w:tc>
        <w:tc>
          <w:tcPr>
            <w:tcW w:type="dxa" w:w="5083"/>
            <w:tcMar>
              <w:top w:w="90" w:type="dxa"/>
              <w:start w:w="110" w:type="dxa"/>
              <w:bottom w:w="90" w:type="dxa"/>
              <w:end w:w="110" w:type="dxa"/>
            </w:tcMar>
            <w:vAlign w:val="center"/>
            <w:shd w:fill="1F4E79"/>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color w:val="FFFFFF"/>
                <w:sz w:val="18"/>
              </w:rPr>
              <w:t>훈련과정 반영 방향</w:t>
            </w:r>
          </w:p>
        </w:tc>
      </w:tr>
      <w:tr>
        <w:tc>
          <w:tcPr>
            <w:tcW w:type="dxa" w:w="5083"/>
            <w:tcMar>
              <w:top w:w="90" w:type="dxa"/>
              <w:start w:w="110" w:type="dxa"/>
              <w:bottom w:w="90" w:type="dxa"/>
              <w:end w:w="110" w:type="dxa"/>
            </w:tcMar>
            <w:vAlign w:val="center"/>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생산계획·생산실적 관리 85.0%</w:t>
            </w:r>
          </w:p>
        </w:tc>
        <w:tc>
          <w:tcPr>
            <w:tcW w:type="dxa" w:w="5083"/>
            <w:tcMar>
              <w:top w:w="90" w:type="dxa"/>
              <w:start w:w="110" w:type="dxa"/>
              <w:bottom w:w="90" w:type="dxa"/>
              <w:end w:w="110" w:type="dxa"/>
            </w:tcMar>
            <w:vAlign w:val="center"/>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생산일보, 생산실적, 목표 대비 달성률, 품목·공정별 실적 관리 실습</w:t>
            </w:r>
          </w:p>
        </w:tc>
      </w:tr>
      <w:tr>
        <w:tc>
          <w:tcPr>
            <w:tcW w:type="dxa" w:w="5083"/>
            <w:tcMar>
              <w:top w:w="90" w:type="dxa"/>
              <w:start w:w="110" w:type="dxa"/>
              <w:bottom w:w="90" w:type="dxa"/>
              <w:end w:w="110" w:type="dxa"/>
            </w:tcMar>
            <w:vAlign w:val="center"/>
            <w:shd w:fill="F5F8FA"/>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품질·불량 데이터 관리 80.0%</w:t>
            </w:r>
          </w:p>
        </w:tc>
        <w:tc>
          <w:tcPr>
            <w:tcW w:type="dxa" w:w="5083"/>
            <w:tcMar>
              <w:top w:w="90" w:type="dxa"/>
              <w:start w:w="110" w:type="dxa"/>
              <w:bottom w:w="90" w:type="dxa"/>
              <w:end w:w="110" w:type="dxa"/>
            </w:tcMar>
            <w:vAlign w:val="center"/>
            <w:shd w:fill="F5F8FA"/>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불량 데이터 정리, 불량률 계산, 불량유형 비교 및 원인분석 보조</w:t>
            </w:r>
          </w:p>
        </w:tc>
      </w:tr>
      <w:tr>
        <w:tc>
          <w:tcPr>
            <w:tcW w:type="dxa" w:w="5083"/>
            <w:tcMar>
              <w:top w:w="90" w:type="dxa"/>
              <w:start w:w="110" w:type="dxa"/>
              <w:bottom w:w="90" w:type="dxa"/>
              <w:end w:w="110" w:type="dxa"/>
            </w:tcMar>
            <w:vAlign w:val="center"/>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자재·재고 관리 70.0%</w:t>
            </w:r>
          </w:p>
        </w:tc>
        <w:tc>
          <w:tcPr>
            <w:tcW w:type="dxa" w:w="5083"/>
            <w:tcMar>
              <w:top w:w="90" w:type="dxa"/>
              <w:start w:w="110" w:type="dxa"/>
              <w:bottom w:w="90" w:type="dxa"/>
              <w:end w:w="110" w:type="dxa"/>
            </w:tcMar>
            <w:vAlign w:val="center"/>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품목·재고 데이터 관리, 정렬·필터·조회, 재고현황 분석</w:t>
            </w:r>
          </w:p>
        </w:tc>
      </w:tr>
      <w:tr>
        <w:tc>
          <w:tcPr>
            <w:tcW w:type="dxa" w:w="5083"/>
            <w:tcMar>
              <w:top w:w="90" w:type="dxa"/>
              <w:start w:w="110" w:type="dxa"/>
              <w:bottom w:w="90" w:type="dxa"/>
              <w:end w:w="110" w:type="dxa"/>
            </w:tcMar>
            <w:vAlign w:val="center"/>
            <w:shd w:fill="F5F8FA"/>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엑셀 활용 중요 70.0% / 채용 75.0%</w:t>
            </w:r>
          </w:p>
        </w:tc>
        <w:tc>
          <w:tcPr>
            <w:tcW w:type="dxa" w:w="5083"/>
            <w:tcMar>
              <w:top w:w="90" w:type="dxa"/>
              <w:start w:w="110" w:type="dxa"/>
              <w:bottom w:w="90" w:type="dxa"/>
              <w:end w:w="110" w:type="dxa"/>
            </w:tcMar>
            <w:vAlign w:val="center"/>
            <w:shd w:fill="F5F8FA"/>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제조데이터 입력·정리·전처리, 함수 활용, 집계, 피벗·차트 등 실무 중심 구성</w:t>
            </w:r>
          </w:p>
        </w:tc>
      </w:tr>
      <w:tr>
        <w:tc>
          <w:tcPr>
            <w:tcW w:type="dxa" w:w="5083"/>
            <w:tcMar>
              <w:top w:w="90" w:type="dxa"/>
              <w:start w:w="110" w:type="dxa"/>
              <w:bottom w:w="90" w:type="dxa"/>
              <w:end w:w="110" w:type="dxa"/>
            </w:tcMar>
            <w:vAlign w:val="center"/>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보고서·문서작성 채용 요구 65.0%</w:t>
            </w:r>
          </w:p>
        </w:tc>
        <w:tc>
          <w:tcPr>
            <w:tcW w:type="dxa" w:w="5083"/>
            <w:tcMar>
              <w:top w:w="90" w:type="dxa"/>
              <w:start w:w="110" w:type="dxa"/>
              <w:bottom w:w="90" w:type="dxa"/>
              <w:end w:w="110" w:type="dxa"/>
            </w:tcMar>
            <w:vAlign w:val="center"/>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생산실적 보고서, 품질 관련 보고서, 데이터 설명문 작성</w:t>
            </w:r>
          </w:p>
        </w:tc>
      </w:tr>
      <w:tr>
        <w:tc>
          <w:tcPr>
            <w:tcW w:type="dxa" w:w="5083"/>
            <w:tcMar>
              <w:top w:w="90" w:type="dxa"/>
              <w:start w:w="110" w:type="dxa"/>
              <w:bottom w:w="90" w:type="dxa"/>
              <w:end w:w="110" w:type="dxa"/>
            </w:tcMar>
            <w:vAlign w:val="center"/>
            <w:shd w:fill="F5F8FA"/>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AI 활용 교육 필요 82.5%</w:t>
            </w:r>
          </w:p>
        </w:tc>
        <w:tc>
          <w:tcPr>
            <w:tcW w:type="dxa" w:w="5083"/>
            <w:tcMar>
              <w:top w:w="90" w:type="dxa"/>
              <w:start w:w="110" w:type="dxa"/>
              <w:bottom w:w="90" w:type="dxa"/>
              <w:end w:w="110" w:type="dxa"/>
            </w:tcMar>
            <w:vAlign w:val="center"/>
            <w:shd w:fill="F5F8FA"/>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프롬프트 작성, 엑셀·데이터 분석 보조, 문서 초안 작성, 분석결과 검증·수정</w:t>
            </w:r>
          </w:p>
        </w:tc>
      </w:tr>
      <w:tr>
        <w:tc>
          <w:tcPr>
            <w:tcW w:type="dxa" w:w="5083"/>
            <w:tcMar>
              <w:top w:w="90" w:type="dxa"/>
              <w:start w:w="110" w:type="dxa"/>
              <w:bottom w:w="90" w:type="dxa"/>
              <w:end w:w="110" w:type="dxa"/>
            </w:tcMar>
            <w:vAlign w:val="center"/>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관리지원 직무전환 의향 72.5%</w:t>
            </w:r>
          </w:p>
        </w:tc>
        <w:tc>
          <w:tcPr>
            <w:tcW w:type="dxa" w:w="5083"/>
            <w:tcMar>
              <w:top w:w="90" w:type="dxa"/>
              <w:start w:w="110" w:type="dxa"/>
              <w:bottom w:w="90" w:type="dxa"/>
              <w:end w:w="110" w:type="dxa"/>
            </w:tcMar>
            <w:vAlign w:val="center"/>
            <w:tcBorders>
              <w:top w:val="single" w:sz="5" w:color="C0CDD6"/>
              <w:left w:val="single" w:sz="5" w:color="C0CDD6"/>
              <w:bottom w:val="single" w:sz="5" w:color="C0CDD6"/>
              <w:right w:val="single" w:sz="5" w:color="C0CDD6"/>
            </w:tcBorders>
          </w:tcPr>
          <w:p>
            <w:pPr>
              <w:spacing w:after="0" w:before="0" w:line="317" w:lineRule="auto"/>
            </w:pPr>
            <w:r>
              <w:rPr>
                <w:rFonts w:ascii="NanumSquare" w:hAnsi="NanumSquare" w:eastAsia="NanumSquare"/>
                <w:b w:val="0"/>
                <w:color w:val="222222"/>
                <w:sz w:val="18"/>
              </w:rPr>
              <w:t>생산관리·품질관리 지원, 제조데이터 관리, 제조업 사무·관리 직무를 취업 연계 목표로 설정</w:t>
            </w:r>
          </w:p>
        </w:tc>
      </w:tr>
    </w:tbl>
    <w:p>
      <w:pPr>
        <w:keepNext/>
        <w:spacing w:after="160" w:before="160" w:line="348" w:lineRule="auto"/>
      </w:pPr>
      <w:r>
        <w:rPr>
          <w:rFonts w:ascii="NanumSquare" w:hAnsi="NanumSquare" w:eastAsia="NanumSquare"/>
          <w:b/>
          <w:color w:val="1F4E79"/>
          <w:sz w:val="25"/>
        </w:rPr>
        <w:t>훈련 흐름</w:t>
      </w:r>
    </w:p>
    <w:tbl>
      <w:tblPr>
        <w:tblW w:type="auto" w:w="0"/>
        <w:jc w:val="center"/>
        <w:tblLayout w:type="fixed"/>
        <w:tblLook w:firstColumn="1" w:firstRow="1" w:lastColumn="0" w:lastRow="0" w:noHBand="0" w:noVBand="1" w:val="04A0"/>
      </w:tblPr>
      <w:tblGrid>
        <w:gridCol w:w="9144"/>
      </w:tblGrid>
      <w:tr>
        <w:tc>
          <w:tcPr>
            <w:tcW w:type="dxa" w:w="10166"/>
            <w:shd w:fill="1F4E79"/>
            <w:tcMar>
              <w:top w:w="100" w:type="dxa"/>
              <w:start w:w="140" w:type="dxa"/>
              <w:bottom w:w="100" w:type="dxa"/>
              <w:end w:w="140" w:type="dxa"/>
            </w:tcMar>
            <w:tcBorders>
              <w:top w:val="single" w:sz="6" w:color="A6BBCB"/>
              <w:left w:val="single" w:sz="6" w:color="A6BBCB"/>
              <w:bottom w:val="single" w:sz="6" w:color="A6BBCB"/>
              <w:right w:val="single" w:sz="6" w:color="A6BBCB"/>
            </w:tcBorders>
          </w:tcPr>
          <w:p>
            <w:pPr>
              <w:spacing w:after="0" w:before="0" w:line="240" w:lineRule="auto"/>
            </w:pPr>
            <w:r>
              <w:rPr>
                <w:rFonts w:ascii="NanumSquare" w:hAnsi="NanumSquare" w:eastAsia="NanumSquare"/>
                <w:b/>
                <w:color w:val="FFFFFF"/>
                <w:sz w:val="21"/>
              </w:rPr>
              <w:t>직무 흐름 중심 편성</w:t>
            </w:r>
          </w:p>
        </w:tc>
      </w:tr>
      <w:tr>
        <w:tc>
          <w:tcPr>
            <w:tcW w:type="dxa" w:w="10166"/>
            <w:shd w:fill="F5F8FA"/>
            <w:tcMar>
              <w:top w:w="140" w:type="dxa"/>
              <w:start w:w="160" w:type="dxa"/>
              <w:bottom w:w="140" w:type="dxa"/>
              <w:end w:w="160" w:type="dxa"/>
            </w:tcMar>
            <w:tcBorders>
              <w:top w:val="single" w:sz="6" w:color="A6BBCB"/>
              <w:left w:val="single" w:sz="6" w:color="A6BBCB"/>
              <w:bottom w:val="single" w:sz="6" w:color="A6BBCB"/>
              <w:right w:val="single" w:sz="6" w:color="A6BBCB"/>
            </w:tcBorders>
          </w:tcPr>
          <w:p>
            <w:pPr>
              <w:spacing w:after="0" w:before="0" w:line="360" w:lineRule="auto"/>
            </w:pPr>
            <w:r>
              <w:rPr>
                <w:rFonts w:ascii="NanumSquare" w:hAnsi="NanumSquare" w:eastAsia="NanumSquare"/>
                <w:b w:val="0"/>
                <w:color w:val="222222"/>
                <w:sz w:val="20"/>
              </w:rPr>
              <w:t>제조업무 이해 → 제조·생산 데이터 이해 → 데이터 입력·수집 → 데이터 정리·전처리 → 생산데이터 분석 → 데이터 시각화 → AI 활용 데이터 분석 → AI 분석결과 검증 → 생산·품질 업무보고서 작성</w:t>
            </w:r>
          </w:p>
        </w:tc>
      </w:tr>
    </w:tbl>
    <w:p>
      <w:pPr>
        <w:spacing w:after="0"/>
      </w:pPr>
    </w:p>
    <w:p>
      <w:pPr>
        <w:spacing w:after="100" w:before="0" w:line="372" w:lineRule="auto"/>
      </w:pPr>
      <w:r>
        <w:rPr>
          <w:rFonts w:ascii="NanumSquare" w:hAnsi="NanumSquare" w:eastAsia="NanumSquare"/>
          <w:b w:val="0"/>
          <w:color w:val="222222"/>
          <w:sz w:val="21"/>
        </w:rPr>
        <w:t>수요조사 결과를 교과 편성에 연결할 때 핵심은 AI 자체를 별도 기술로 가르치는 데 있지 않다. 제조현장에서 사용하는 생산·품질·공정·재고 데이터를 먼저 이해하고, 엑셀로 정리·분석한 뒤 AI를 함수 작성, 오류 확인, 분석 보조, 결과 해석, 보고서 초안 작성에 활용하도록 구성하는 편이 조사 결과와 맞는다.</w:t>
      </w:r>
    </w:p>
    <w:p>
      <w:r>
        <w:br w:type="page"/>
      </w:r>
    </w:p>
    <w:p>
      <w:pPr>
        <w:keepNext/>
        <w:spacing w:after="160" w:before="160" w:line="348" w:lineRule="auto"/>
        <w:pBdr>
          <w:bottom w:val="single" w:sz="12" w:space="4" w:color="1F4E79"/>
        </w:pBdr>
      </w:pPr>
      <w:r>
        <w:rPr>
          <w:rFonts w:ascii="NanumSquare" w:hAnsi="NanumSquare" w:eastAsia="NanumSquare"/>
          <w:b/>
          <w:color w:val="1F4E79"/>
          <w:sz w:val="32"/>
        </w:rPr>
        <w:t>6. B권 「훈련수요 적합성」 기재용 문안</w:t>
      </w:r>
    </w:p>
    <w:tbl>
      <w:tblPr>
        <w:tblW w:type="auto" w:w="0"/>
        <w:jc w:val="center"/>
        <w:tblLayout w:type="fixed"/>
        <w:tblLook w:firstColumn="1" w:firstRow="1" w:lastColumn="0" w:lastRow="0" w:noHBand="0" w:noVBand="1" w:val="04A0"/>
      </w:tblPr>
      <w:tblGrid>
        <w:gridCol w:w="9144"/>
      </w:tblGrid>
      <w:tr>
        <w:tc>
          <w:tcPr>
            <w:tcW w:type="dxa" w:w="10166"/>
            <w:shd w:fill="1F4E79"/>
            <w:tcMar>
              <w:top w:w="100" w:type="dxa"/>
              <w:start w:w="140" w:type="dxa"/>
              <w:bottom w:w="100" w:type="dxa"/>
              <w:end w:w="140" w:type="dxa"/>
            </w:tcMar>
            <w:tcBorders>
              <w:top w:val="single" w:sz="6" w:color="A6BBCB"/>
              <w:left w:val="single" w:sz="6" w:color="A6BBCB"/>
              <w:bottom w:val="single" w:sz="6" w:color="A6BBCB"/>
              <w:right w:val="single" w:sz="6" w:color="A6BBCB"/>
            </w:tcBorders>
          </w:tcPr>
          <w:p>
            <w:pPr>
              <w:spacing w:after="0" w:before="0" w:line="240" w:lineRule="auto"/>
            </w:pPr>
            <w:r>
              <w:rPr>
                <w:rFonts w:ascii="NanumSquare" w:hAnsi="NanumSquare" w:eastAsia="NanumSquare"/>
                <w:b/>
                <w:color w:val="FFFFFF"/>
                <w:sz w:val="21"/>
              </w:rPr>
              <w:t>훈련수요 적합성 (교육받을 기업체 등)</w:t>
            </w:r>
          </w:p>
        </w:tc>
      </w:tr>
      <w:tr>
        <w:tc>
          <w:tcPr>
            <w:tcW w:type="dxa" w:w="10166"/>
            <w:shd w:fill="F5F8FA"/>
            <w:tcMar>
              <w:top w:w="140" w:type="dxa"/>
              <w:start w:w="160" w:type="dxa"/>
              <w:bottom w:w="140" w:type="dxa"/>
              <w:end w:w="160" w:type="dxa"/>
            </w:tcMar>
            <w:tcBorders>
              <w:top w:val="single" w:sz="6" w:color="A6BBCB"/>
              <w:left w:val="single" w:sz="6" w:color="A6BBCB"/>
              <w:bottom w:val="single" w:sz="6" w:color="A6BBCB"/>
              <w:right w:val="single" w:sz="6" w:color="A6BBCB"/>
            </w:tcBorders>
          </w:tcPr>
          <w:p>
            <w:pPr>
              <w:spacing w:after="0" w:before="0" w:line="360" w:lineRule="auto"/>
            </w:pPr>
            <w:r>
              <w:rPr>
                <w:rFonts w:ascii="NanumSquare" w:hAnsi="NanumSquare" w:eastAsia="NanumSquare"/>
                <w:b w:val="0"/>
                <w:color w:val="222222"/>
                <w:sz w:val="20"/>
              </w:rPr>
              <w:t>아래 문안은 사업계획서 해당 칸에 바로 옮겨 사용할 수 있도록 조사근거 → 기업수요 → 구직자수요 → 과정반영 순서로 정리했다.</w:t>
            </w:r>
          </w:p>
        </w:tc>
      </w:tr>
    </w:tbl>
    <w:p>
      <w:pPr>
        <w:spacing w:after="0"/>
      </w:pPr>
    </w:p>
    <w:p>
      <w:pPr>
        <w:keepNext/>
        <w:spacing w:after="160" w:before="160" w:line="348" w:lineRule="auto"/>
      </w:pPr>
      <w:r>
        <w:rPr>
          <w:rFonts w:ascii="NanumSquare" w:hAnsi="NanumSquare" w:eastAsia="NanumSquare"/>
          <w:b/>
          <w:color w:val="1F4E79"/>
          <w:sz w:val="25"/>
        </w:rPr>
        <w:t>1) 광주지역 제조업의 디지털 생산관리 환경 확대</w:t>
      </w:r>
    </w:p>
    <w:p>
      <w:pPr>
        <w:spacing w:after="100" w:before="0" w:line="372" w:lineRule="auto"/>
      </w:pPr>
      <w:r>
        <w:rPr>
          <w:rFonts w:ascii="NanumSquare" w:hAnsi="NanumSquare" w:eastAsia="NanumSquare"/>
          <w:b w:val="0"/>
          <w:color w:val="222222"/>
          <w:sz w:val="21"/>
        </w:rPr>
        <w:t>광주지역 제조업체 20개사를 대상으로 자동화 설비 및 디지털 생산관리 시스템 활용 현황을 조사한 결과, 90.0%가 일부 공정 이상에서 해당 설비나 시스템을 활용하고 있었다. 향후 생산·품질·제조데이터 관리 업무의 중요성이 현재보다 높아질 것이라는 응답도 85.0%로 나타났다. 생산현장의 자동화와 함께 생산실적, 품질, 공정, 재고 정보를 디지털 방식으로 기록하고 관리하는 업무의 비중이 커지고 있음을 확인했다.</w:t>
      </w:r>
    </w:p>
    <w:p>
      <w:pPr>
        <w:keepNext/>
        <w:spacing w:after="160" w:before="160" w:line="348" w:lineRule="auto"/>
      </w:pPr>
      <w:r>
        <w:rPr>
          <w:rFonts w:ascii="NanumSquare" w:hAnsi="NanumSquare" w:eastAsia="NanumSquare"/>
          <w:b/>
          <w:color w:val="1F4E79"/>
          <w:sz w:val="25"/>
        </w:rPr>
        <w:t>2) 생산·품질관리 직무에서 요구되는 데이터 실무능력</w:t>
      </w:r>
    </w:p>
    <w:p>
      <w:pPr>
        <w:spacing w:after="100" w:before="0" w:line="372" w:lineRule="auto"/>
      </w:pPr>
      <w:r>
        <w:rPr>
          <w:rFonts w:ascii="NanumSquare" w:hAnsi="NanumSquare" w:eastAsia="NanumSquare"/>
          <w:b w:val="0"/>
          <w:color w:val="222222"/>
          <w:sz w:val="21"/>
        </w:rPr>
        <w:t>기업이 생산·품질관리 업무에서 중요하게 보는 항목은 생산계획 및 생산실적 관리 85.0%, 품질·불량 데이터 관리 80.0%, 자재·재고 관리 70.0%, 엑셀을 활용한 데이터 정리·분석 70.0% 순으로 조사됐다. 채용 시 중요하게 보는 능력도 제조현장 및 공정 이해 90.0%, 생산·품질 데이터 관리 80.0%, 엑셀 활용 75.0%, 보고서·문서작성 65.0%로 나타났다. 현장경험만 있는 인력보다 제조공정을 이해하면서 생산·품질 데이터를 정리하고 업무자료로 활용할 수 있는 인력에 대한 요구가 높았다.</w:t>
      </w:r>
    </w:p>
    <w:p>
      <w:pPr>
        <w:keepNext/>
        <w:spacing w:after="160" w:before="160" w:line="348" w:lineRule="auto"/>
      </w:pPr>
      <w:r>
        <w:rPr>
          <w:rFonts w:ascii="NanumSquare" w:hAnsi="NanumSquare" w:eastAsia="NanumSquare"/>
          <w:b/>
          <w:color w:val="1F4E79"/>
          <w:sz w:val="25"/>
        </w:rPr>
        <w:t>3) 중장년 구직자의 직무전환 수요와 디지털 역량 부족</w:t>
      </w:r>
    </w:p>
    <w:p>
      <w:pPr>
        <w:spacing w:after="100" w:before="0" w:line="372" w:lineRule="auto"/>
      </w:pPr>
      <w:r>
        <w:rPr>
          <w:rFonts w:ascii="NanumSquare" w:hAnsi="NanumSquare" w:eastAsia="NanumSquare"/>
          <w:b w:val="0"/>
          <w:color w:val="222222"/>
          <w:sz w:val="21"/>
        </w:rPr>
        <w:t>중장년 구직자 및 이·전직 희망자 40명 중 80.0%가 제조업 또는 생산현장 근무경험을 보유하고 있었고, 생산관리·품질관리·제조데이터 관리 등 관리지원 업무로 옮길 의향이 있다는 응답은 72.5%였다. 반면 엑셀 활용 75.0%, AI 활용 70.0%, 생산·품질 데이터 정리 67.5%, 생산실적·불량률 분석 62.5%가 부족하다고 답했다. 제조현장 경력을 가진 중장년이 데이터관리·엑셀·AI 활용능력을 갖출 경우 생산관리·품질관리 지원업무에 활용할 의향이 있다는 기업 응답도 75.0%로 확인됐다.</w:t>
      </w:r>
    </w:p>
    <w:p>
      <w:pPr>
        <w:keepNext/>
        <w:spacing w:after="160" w:before="160" w:line="348" w:lineRule="auto"/>
      </w:pPr>
      <w:r>
        <w:rPr>
          <w:rFonts w:ascii="NanumSquare" w:hAnsi="NanumSquare" w:eastAsia="NanumSquare"/>
          <w:b/>
          <w:color w:val="1F4E79"/>
          <w:sz w:val="25"/>
        </w:rPr>
        <w:t>4) AI 활용 교육수요와 교과 반영</w:t>
      </w:r>
    </w:p>
    <w:p>
      <w:pPr>
        <w:spacing w:after="100" w:before="0" w:line="372" w:lineRule="auto"/>
      </w:pPr>
      <w:r>
        <w:rPr>
          <w:rFonts w:ascii="NanumSquare" w:hAnsi="NanumSquare" w:eastAsia="NanumSquare"/>
          <w:b w:val="0"/>
          <w:color w:val="222222"/>
          <w:sz w:val="21"/>
        </w:rPr>
        <w:t>AI를 활용한 엑셀·데이터 분석·보고서 작성 교육이 필요하다는 응답은 82.5%, 제조데이터 관리와 AI 활용을 결합한 교육과정 참여 의향은 77.5%였다. 훈련은 제조업무 이해, 제조데이터 입력·관리, 생산·품질 데이터 분석, 시각화, AI 활용 분석, 결과 검증, 생산·품질 업무보고서 작성으로 연결했다. 생산일보·생산실적·불량·재고 자료를 실습에 사용하고, AI는 함수 작성, 오류 확인, 데이터 해석, 보고서 초안 작성 등을 돕는 업무도구로 활용하도록 편성했다. 취업 연계 직무는 생산데이터 관리, 생산관리 지원, 품질관리 지원, 제조업 사무·관리 등 데이터 기반 제조지원 업무로 설정했다.</w:t>
      </w:r>
    </w:p>
    <w:p>
      <w:pPr>
        <w:spacing w:after="0" w:before="200" w:line="348" w:lineRule="auto"/>
      </w:pPr>
      <w:r>
        <w:rPr>
          <w:rFonts w:ascii="NanumSquare" w:hAnsi="NanumSquare" w:eastAsia="NanumSquare"/>
          <w:b w:val="0"/>
          <w:color w:val="666666"/>
          <w:sz w:val="17"/>
        </w:rPr>
        <w:t>※ 기업체 및 중장년 구직자 관련 수치는 기관 자체 수요조사 초안의 응답값을 그대로 사용함.</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b w:val="0"/>
        <w:color w:val="666666"/>
        <w:sz w:val="18"/>
      </w:rPr>
      <w:t xml:space="preserve">- </w:t>
    </w:r>
    <w:fldSimple w:instr="PAGE"/>
    <w:r>
      <w:rPr>
        <w:rFonts w:ascii="NanumSquare" w:hAnsi="NanumSquare" w:eastAsia="NanumSquare"/>
        <w:b w:val="0"/>
        <w:color w:val="666666"/>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