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507191"/>
          <w:sz w:val="18"/>
        </w:rPr>
        <w:t>국제사회 뉴스 · 문서작성 실습</w:t>
      </w:r>
    </w:p>
    <w:p>
      <w:pPr>
        <w:pStyle w:val="Title"/>
        <w:jc w:val="center"/>
      </w:pPr>
      <w:r>
        <w:rPr>
          <w:b w:val="0"/>
        </w:rPr>
        <w:t>프랑스 대규모 시위,</w:t>
        <w:br/>
        <w:t>무엇이 시민들을 거리로 이끌었나</w:t>
      </w:r>
    </w:p>
    <w:p>
      <w:pPr>
        <w:jc w:val="center"/>
      </w:pPr>
      <w:r>
        <w:rPr>
          <w:b/>
          <w:color w:val="306B96"/>
          <w:sz w:val="22"/>
        </w:rPr>
        <w:t>2026년 10월 프랑스 시위의 배경과 주요 쟁점</w:t>
      </w:r>
    </w:p>
    <w:p>
      <w:pPr>
        <w:jc w:val="center"/>
      </w:pPr>
      <w:r>
        <w:rPr>
          <w:b w:val="0"/>
          <w:color w:val="707780"/>
          <w:sz w:val="18"/>
        </w:rPr>
        <w:t>작성 기준일  2026년 10월 19일   |   문서 유형  시사 현황 보고서</w:t>
      </w:r>
    </w:p>
    <w:p>
      <w:pPr>
        <w:pStyle w:val="Heading1"/>
        <w:jc w:val="left"/>
      </w:pPr>
      <w:r>
        <w:rPr>
          <w:b w:val="0"/>
        </w:rPr>
        <w:t>1. 프랑스 시위의 배경</w:t>
      </w:r>
    </w:p>
    <w:p>
      <w:pPr>
        <w:jc w:val="both"/>
      </w:pPr>
      <w:r>
        <w:rPr>
          <w:b w:val="0"/>
        </w:rPr>
        <w:t>2026년 10월 프랑스에서는 생활비 부담과 교육환경 악화에 항의하는 시위가 전국적으로 확산되었다. 고등학생들의 교육 여건 개선 요구에서 시작된 움직임에 노동조합과 여러 시민 단체가 합류하면서, 물가와 임금, 공공서비스 문제를 함께 제기하는 대규모 집회로 발전했다.</w:t>
      </w:r>
    </w:p>
    <w:p>
      <w:pPr>
        <w:jc w:val="both"/>
      </w:pPr>
      <w:r>
        <w:rPr>
          <w:b w:val="0"/>
        </w:rPr>
        <w:t>특히 10월 17일에는 파리와 마르세유, 리옹 등 여러 도시에서 집회가 열렸다. 많은 참가자는 평화적으로 행진했으나 일부 지역에서는 폭력과 약탈, 공공시설 훼손이 발생하면서 사회적 논쟁이 커졌다.</w:t>
      </w:r>
    </w:p>
    <w:p>
      <w:pPr>
        <w:pStyle w:val="Heading1"/>
        <w:jc w:val="left"/>
      </w:pPr>
      <w:r>
        <w:rPr>
          <w:b w:val="0"/>
        </w:rPr>
        <w:t>2. 시위가 확대된 주요 원인</w:t>
      </w:r>
    </w:p>
    <w:p>
      <w:pPr>
        <w:pStyle w:val="Heading2"/>
        <w:jc w:val="left"/>
      </w:pPr>
      <w:r>
        <w:rPr>
          <w:b w:val="0"/>
        </w:rPr>
        <w:t>2.1. 생활비와 연료비 부담</w:t>
      </w:r>
    </w:p>
    <w:p>
      <w:pPr>
        <w:jc w:val="both"/>
      </w:pPr>
      <w:r>
        <w:rPr>
          <w:b w:val="0"/>
        </w:rPr>
        <w:t>물가와 연료비가 오르면서 가계 지출이 증가했다. 시민들은 임금과 연금이 생활비 상승을 충분히 따라가지 못한다고 주장하며 실질적인 지원 정책을 요구했다.</w:t>
      </w:r>
    </w:p>
    <w:p>
      <w:pPr>
        <w:pStyle w:val="Heading2"/>
        <w:jc w:val="left"/>
      </w:pPr>
      <w:r>
        <w:rPr>
          <w:b w:val="0"/>
        </w:rPr>
        <w:t>2.2. 교육환경 개선 요구</w:t>
      </w:r>
    </w:p>
    <w:p>
      <w:pPr>
        <w:jc w:val="both"/>
      </w:pPr>
      <w:r>
        <w:rPr>
          <w:b w:val="0"/>
        </w:rPr>
        <w:t>학생들은 교사 부족, 노후한 학교시설, 학급 과밀 등 교육현장의 문제를 제기했다. 학교와 대학의 학습환경을 개선하고 학생들의 목소리를 정책에 반영해 달라는 요구가 이어졌다.</w:t>
      </w:r>
    </w:p>
    <w:p>
      <w:pPr>
        <w:pStyle w:val="Heading2"/>
        <w:jc w:val="left"/>
      </w:pPr>
      <w:r>
        <w:rPr>
          <w:b w:val="0"/>
        </w:rPr>
        <w:t>2.3. 정부 정책에 대한 불만</w:t>
      </w:r>
    </w:p>
    <w:p>
      <w:pPr>
        <w:jc w:val="both"/>
      </w:pPr>
      <w:r>
        <w:rPr>
          <w:b w:val="0"/>
        </w:rPr>
        <w:t>시위 참가자들은 공공서비스 지출과 예산 편성 방향을 둘러싸고 정부에 설명과 대책을 요구했다. 교육 문제와 생활비 문제가 결합하면서 집회 참여층도 넓어졌다.</w:t>
      </w:r>
    </w:p>
    <w:p>
      <w:pPr>
        <w:jc w:val="center"/>
      </w:pPr>
      <w:r>
        <w:rPr>
          <w:b/>
          <w:color w:val="AD403D"/>
          <w:sz w:val="20"/>
        </w:rPr>
        <w:t>핵심 쟁점  |  생활비 안정 · 교육환경 개선 · 공공서비스 강화</w:t>
      </w:r>
    </w:p>
    <w:p>
      <w:r>
        <w:br w:type="page"/>
      </w:r>
    </w:p>
    <w:p>
      <w:pPr>
        <w:jc w:val="right"/>
      </w:pPr>
      <w:r>
        <w:rPr>
          <w:b/>
          <w:color w:val="306B96"/>
          <w:sz w:val="18"/>
        </w:rPr>
        <w:t>FRANCE  |  ISSUE BRIEF</w:t>
      </w:r>
    </w:p>
    <w:p>
      <w:pPr>
        <w:pStyle w:val="Heading1"/>
        <w:jc w:val="left"/>
      </w:pPr>
      <w:r>
        <w:rPr>
          <w:b w:val="0"/>
        </w:rPr>
        <w:t>3. 시위의 진행과 주요 현황</w:t>
      </w:r>
    </w:p>
    <w:p>
      <w:pPr>
        <w:jc w:val="both"/>
      </w:pPr>
      <w:r>
        <w:rPr>
          <w:b w:val="0"/>
        </w:rPr>
        <w:t>프랑스 각지의 집회는 교육 문제에서 출발해 경제·사회 정책에 대한 항의로 확대되었다. 아래 표는 주요 흐름을 간략히 정리한 것이다.</w:t>
      </w:r>
    </w:p>
    <w:tbl>
      <w:tblPr>
        <w:tblStyle w:val="TableGrid"/>
        <w:tblW w:type="auto" w:w="0"/>
        <w:jc w:val="center"/>
        <w:tblLook w:firstColumn="1" w:firstRow="1" w:lastColumn="0" w:lastRow="0" w:noHBand="0" w:noVBand="1" w:val="04A0"/>
      </w:tblPr>
      <w:tblGrid>
        <w:gridCol w:w="4788"/>
        <w:gridCol w:w="4788"/>
      </w:tblGrid>
      <w:tr>
        <w:tc>
          <w:tcPr>
            <w:tcW w:type="dxa" w:w="1928"/>
            <w:vAlign w:val="center"/>
            <w:shd w:fill="24466E"/>
          </w:tcPr>
          <w:p>
            <w:pPr>
              <w:spacing w:after="40" w:before="40"/>
              <w:jc w:val="center"/>
            </w:pPr>
            <w:r>
              <w:rPr>
                <w:b/>
                <w:color w:val="FFFFFF"/>
                <w:sz w:val="18"/>
              </w:rPr>
              <w:t>시기</w:t>
            </w:r>
          </w:p>
        </w:tc>
        <w:tc>
          <w:tcPr>
            <w:tcW w:type="dxa" w:w="6803"/>
            <w:vAlign w:val="center"/>
            <w:shd w:fill="24466E"/>
          </w:tcPr>
          <w:p>
            <w:pPr>
              <w:spacing w:after="40" w:before="40"/>
              <w:jc w:val="left"/>
            </w:pPr>
            <w:r>
              <w:rPr>
                <w:b/>
                <w:color w:val="FFFFFF"/>
                <w:sz w:val="18"/>
              </w:rPr>
              <w:t>주요 내용</w:t>
            </w:r>
          </w:p>
        </w:tc>
      </w:tr>
      <w:tr>
        <w:tc>
          <w:tcPr>
            <w:tcW w:type="dxa" w:w="1928"/>
            <w:vAlign w:val="center"/>
          </w:tcPr>
          <w:p>
            <w:pPr>
              <w:spacing w:after="40" w:before="40"/>
              <w:jc w:val="center"/>
            </w:pPr>
            <w:r>
              <w:rPr>
                <w:b w:val="0"/>
                <w:color w:val="23303D"/>
                <w:sz w:val="18"/>
              </w:rPr>
              <w:t>9월 중순</w:t>
            </w:r>
          </w:p>
        </w:tc>
        <w:tc>
          <w:tcPr>
            <w:tcW w:type="dxa" w:w="6803"/>
            <w:vAlign w:val="center"/>
          </w:tcPr>
          <w:p>
            <w:pPr>
              <w:spacing w:after="40" w:before="40"/>
              <w:jc w:val="left"/>
            </w:pPr>
            <w:r>
              <w:rPr>
                <w:b w:val="0"/>
                <w:color w:val="23303D"/>
                <w:sz w:val="18"/>
              </w:rPr>
              <w:t>노동조합 파업과 임금·연료비 관련 항의</w:t>
            </w:r>
          </w:p>
        </w:tc>
      </w:tr>
      <w:tr>
        <w:tc>
          <w:tcPr>
            <w:tcW w:type="dxa" w:w="1928"/>
            <w:vAlign w:val="center"/>
          </w:tcPr>
          <w:p>
            <w:pPr>
              <w:spacing w:after="40" w:before="40"/>
              <w:jc w:val="center"/>
            </w:pPr>
            <w:r>
              <w:rPr>
                <w:b w:val="0"/>
                <w:color w:val="23303D"/>
                <w:sz w:val="18"/>
              </w:rPr>
              <w:t>10월 초</w:t>
            </w:r>
          </w:p>
        </w:tc>
        <w:tc>
          <w:tcPr>
            <w:tcW w:type="dxa" w:w="6803"/>
            <w:vAlign w:val="center"/>
          </w:tcPr>
          <w:p>
            <w:pPr>
              <w:spacing w:after="40" w:before="40"/>
              <w:jc w:val="left"/>
            </w:pPr>
            <w:r>
              <w:rPr>
                <w:b w:val="0"/>
                <w:color w:val="23303D"/>
                <w:sz w:val="18"/>
              </w:rPr>
              <w:t>고등학생 중심의 교육환경 개선 시위 확산</w:t>
            </w:r>
          </w:p>
        </w:tc>
      </w:tr>
      <w:tr>
        <w:tc>
          <w:tcPr>
            <w:tcW w:type="dxa" w:w="1928"/>
            <w:vAlign w:val="center"/>
          </w:tcPr>
          <w:p>
            <w:pPr>
              <w:spacing w:after="40" w:before="40"/>
              <w:jc w:val="center"/>
            </w:pPr>
            <w:r>
              <w:rPr>
                <w:b w:val="0"/>
                <w:color w:val="23303D"/>
                <w:sz w:val="18"/>
              </w:rPr>
              <w:t>10월 13일</w:t>
            </w:r>
          </w:p>
        </w:tc>
        <w:tc>
          <w:tcPr>
            <w:tcW w:type="dxa" w:w="6803"/>
            <w:vAlign w:val="center"/>
          </w:tcPr>
          <w:p>
            <w:pPr>
              <w:spacing w:after="40" w:before="40"/>
              <w:jc w:val="left"/>
            </w:pPr>
            <w:r>
              <w:rPr>
                <w:b w:val="0"/>
                <w:color w:val="23303D"/>
                <w:sz w:val="18"/>
              </w:rPr>
              <w:t>학생·노동조합 등이 참여한 전국 집회</w:t>
            </w:r>
          </w:p>
        </w:tc>
      </w:tr>
      <w:tr>
        <w:tc>
          <w:tcPr>
            <w:tcW w:type="dxa" w:w="1928"/>
            <w:vAlign w:val="center"/>
          </w:tcPr>
          <w:p>
            <w:pPr>
              <w:spacing w:after="40" w:before="40"/>
              <w:jc w:val="center"/>
            </w:pPr>
            <w:r>
              <w:rPr>
                <w:b w:val="0"/>
                <w:color w:val="23303D"/>
                <w:sz w:val="18"/>
              </w:rPr>
              <w:t>10월 17일</w:t>
            </w:r>
          </w:p>
        </w:tc>
        <w:tc>
          <w:tcPr>
            <w:tcW w:type="dxa" w:w="6803"/>
            <w:vAlign w:val="center"/>
          </w:tcPr>
          <w:p>
            <w:pPr>
              <w:spacing w:after="40" w:before="40"/>
              <w:jc w:val="left"/>
            </w:pPr>
            <w:r>
              <w:rPr>
                <w:b w:val="0"/>
                <w:color w:val="23303D"/>
                <w:sz w:val="18"/>
              </w:rPr>
              <w:t>생활비 문제와 교육 요구가 결합한 대규모 집회</w:t>
            </w:r>
          </w:p>
        </w:tc>
      </w:tr>
      <w:tr>
        <w:tc>
          <w:tcPr>
            <w:tcW w:type="dxa" w:w="1928"/>
            <w:vAlign w:val="center"/>
          </w:tcPr>
          <w:p>
            <w:pPr>
              <w:spacing w:after="40" w:before="40"/>
              <w:jc w:val="center"/>
            </w:pPr>
            <w:r>
              <w:rPr>
                <w:b w:val="0"/>
                <w:color w:val="23303D"/>
                <w:sz w:val="18"/>
              </w:rPr>
              <w:t>10월 18일</w:t>
            </w:r>
          </w:p>
        </w:tc>
        <w:tc>
          <w:tcPr>
            <w:tcW w:type="dxa" w:w="6803"/>
            <w:vAlign w:val="center"/>
          </w:tcPr>
          <w:p>
            <w:pPr>
              <w:spacing w:after="40" w:before="40"/>
              <w:jc w:val="left"/>
            </w:pPr>
            <w:r>
              <w:rPr>
                <w:b w:val="0"/>
                <w:color w:val="23303D"/>
                <w:sz w:val="18"/>
              </w:rPr>
              <w:t>정부의 폭력 규탄 및 질서 회복 대응</w:t>
            </w:r>
          </w:p>
        </w:tc>
      </w:tr>
    </w:tbl>
    <w:p>
      <w:pPr>
        <w:pStyle w:val="Heading1"/>
        <w:jc w:val="left"/>
      </w:pPr>
      <w:r>
        <w:rPr>
          <w:b w:val="0"/>
        </w:rPr>
        <w:t>4. 시위 참가자들의 요구</w:t>
      </w:r>
    </w:p>
    <w:p>
      <w:pPr>
        <w:pStyle w:val="Heading2"/>
        <w:jc w:val="left"/>
      </w:pPr>
      <w:r>
        <w:rPr>
          <w:b w:val="0"/>
        </w:rPr>
        <w:t>4.1. 경제와 생활</w:t>
      </w:r>
    </w:p>
    <w:p>
      <w:pPr>
        <w:jc w:val="left"/>
      </w:pPr>
      <w:r>
        <w:rPr>
          <w:b w:val="0"/>
        </w:rPr>
        <w:t>① 생활필수품과 연료비 부담 완화</w:t>
      </w:r>
    </w:p>
    <w:p>
      <w:pPr>
        <w:jc w:val="left"/>
      </w:pPr>
      <w:r>
        <w:rPr>
          <w:b w:val="0"/>
        </w:rPr>
        <w:t>② 노동자의 임금 및 연금 개선</w:t>
      </w:r>
    </w:p>
    <w:p>
      <w:pPr>
        <w:jc w:val="left"/>
      </w:pPr>
      <w:r>
        <w:rPr>
          <w:b w:val="0"/>
        </w:rPr>
        <w:t>③ 서민 가계의 실질적인 구매력 회복</w:t>
      </w:r>
    </w:p>
    <w:p>
      <w:pPr>
        <w:pStyle w:val="Heading2"/>
        <w:jc w:val="left"/>
      </w:pPr>
      <w:r>
        <w:rPr>
          <w:b w:val="0"/>
        </w:rPr>
        <w:t>4.2. 교육과 공공서비스</w:t>
      </w:r>
    </w:p>
    <w:p>
      <w:pPr>
        <w:jc w:val="left"/>
      </w:pPr>
      <w:r>
        <w:rPr>
          <w:b w:val="0"/>
        </w:rPr>
        <w:t>① 부족한 교원 인력 충원</w:t>
      </w:r>
    </w:p>
    <w:p>
      <w:pPr>
        <w:jc w:val="left"/>
      </w:pPr>
      <w:r>
        <w:rPr>
          <w:b w:val="0"/>
        </w:rPr>
        <w:t>② 학교시설과 수업환경 개선</w:t>
      </w:r>
    </w:p>
    <w:p>
      <w:pPr>
        <w:jc w:val="left"/>
      </w:pPr>
      <w:r>
        <w:rPr>
          <w:b w:val="0"/>
        </w:rPr>
        <w:t>③ 교육정책 결정 과정에서 학생 의견 반영</w:t>
      </w:r>
    </w:p>
    <w:p>
      <w:pPr>
        <w:pStyle w:val="Heading1"/>
        <w:jc w:val="left"/>
      </w:pPr>
      <w:r>
        <w:rPr>
          <w:b w:val="0"/>
        </w:rPr>
        <w:t>5. 주요 도시별 시위 상황</w:t>
      </w:r>
    </w:p>
    <w:tbl>
      <w:tblPr>
        <w:tblStyle w:val="TableGrid"/>
        <w:tblW w:type="auto" w:w="0"/>
        <w:jc w:val="center"/>
        <w:tblLook w:firstColumn="1" w:firstRow="1" w:lastColumn="0" w:lastRow="0" w:noHBand="0" w:noVBand="1" w:val="04A0"/>
      </w:tblPr>
      <w:tblGrid>
        <w:gridCol w:w="4788"/>
        <w:gridCol w:w="4788"/>
      </w:tblGrid>
      <w:tr>
        <w:tc>
          <w:tcPr>
            <w:tcW w:type="dxa" w:w="1928"/>
            <w:vAlign w:val="center"/>
            <w:shd w:fill="24466E"/>
          </w:tcPr>
          <w:p>
            <w:pPr>
              <w:spacing w:after="40" w:before="40"/>
              <w:jc w:val="center"/>
            </w:pPr>
            <w:r>
              <w:rPr>
                <w:b/>
                <w:color w:val="FFFFFF"/>
                <w:sz w:val="18"/>
              </w:rPr>
              <w:t>도시</w:t>
            </w:r>
          </w:p>
        </w:tc>
        <w:tc>
          <w:tcPr>
            <w:tcW w:type="dxa" w:w="6803"/>
            <w:vAlign w:val="center"/>
            <w:shd w:fill="24466E"/>
          </w:tcPr>
          <w:p>
            <w:pPr>
              <w:spacing w:after="40" w:before="40"/>
              <w:jc w:val="left"/>
            </w:pPr>
            <w:r>
              <w:rPr>
                <w:b/>
                <w:color w:val="FFFFFF"/>
                <w:sz w:val="18"/>
              </w:rPr>
              <w:t>시위 및 관련 상황</w:t>
            </w:r>
          </w:p>
        </w:tc>
      </w:tr>
      <w:tr>
        <w:tc>
          <w:tcPr>
            <w:tcW w:type="dxa" w:w="1928"/>
            <w:vAlign w:val="center"/>
          </w:tcPr>
          <w:p>
            <w:pPr>
              <w:spacing w:after="40" w:before="40"/>
              <w:jc w:val="center"/>
            </w:pPr>
            <w:r>
              <w:rPr>
                <w:b w:val="0"/>
                <w:color w:val="23303D"/>
                <w:sz w:val="18"/>
              </w:rPr>
              <w:t>파리</w:t>
            </w:r>
          </w:p>
        </w:tc>
        <w:tc>
          <w:tcPr>
            <w:tcW w:type="dxa" w:w="6803"/>
            <w:vAlign w:val="center"/>
          </w:tcPr>
          <w:p>
            <w:pPr>
              <w:spacing w:after="40" w:before="40"/>
              <w:jc w:val="left"/>
            </w:pPr>
            <w:r>
              <w:rPr>
                <w:b w:val="0"/>
                <w:color w:val="23303D"/>
                <w:sz w:val="18"/>
              </w:rPr>
              <w:t>대규모 집회와 일부 지역 경찰·시위대 충돌</w:t>
            </w:r>
          </w:p>
        </w:tc>
      </w:tr>
      <w:tr>
        <w:tc>
          <w:tcPr>
            <w:tcW w:type="dxa" w:w="1928"/>
            <w:vAlign w:val="center"/>
          </w:tcPr>
          <w:p>
            <w:pPr>
              <w:spacing w:after="40" w:before="40"/>
              <w:jc w:val="center"/>
            </w:pPr>
            <w:r>
              <w:rPr>
                <w:b w:val="0"/>
                <w:color w:val="23303D"/>
                <w:sz w:val="18"/>
              </w:rPr>
              <w:t>마르세유</w:t>
            </w:r>
          </w:p>
        </w:tc>
        <w:tc>
          <w:tcPr>
            <w:tcW w:type="dxa" w:w="6803"/>
            <w:vAlign w:val="center"/>
          </w:tcPr>
          <w:p>
            <w:pPr>
              <w:spacing w:after="40" w:before="40"/>
              <w:jc w:val="left"/>
            </w:pPr>
            <w:r>
              <w:rPr>
                <w:b w:val="0"/>
                <w:color w:val="23303D"/>
                <w:sz w:val="18"/>
              </w:rPr>
              <w:t>행진과 일부 공공시설 관련 충돌</w:t>
            </w:r>
          </w:p>
        </w:tc>
      </w:tr>
      <w:tr>
        <w:tc>
          <w:tcPr>
            <w:tcW w:type="dxa" w:w="1928"/>
            <w:vAlign w:val="center"/>
          </w:tcPr>
          <w:p>
            <w:pPr>
              <w:spacing w:after="40" w:before="40"/>
              <w:jc w:val="center"/>
            </w:pPr>
            <w:r>
              <w:rPr>
                <w:b w:val="0"/>
                <w:color w:val="23303D"/>
                <w:sz w:val="18"/>
              </w:rPr>
              <w:t>리옹</w:t>
            </w:r>
          </w:p>
        </w:tc>
        <w:tc>
          <w:tcPr>
            <w:tcW w:type="dxa" w:w="6803"/>
            <w:vAlign w:val="center"/>
          </w:tcPr>
          <w:p>
            <w:pPr>
              <w:spacing w:after="40" w:before="40"/>
              <w:jc w:val="left"/>
            </w:pPr>
            <w:r>
              <w:rPr>
                <w:b w:val="0"/>
                <w:color w:val="23303D"/>
                <w:sz w:val="18"/>
              </w:rPr>
              <w:t>집회 개최 및 일부 지역 혼란</w:t>
            </w:r>
          </w:p>
        </w:tc>
      </w:tr>
      <w:tr>
        <w:tc>
          <w:tcPr>
            <w:tcW w:type="dxa" w:w="1928"/>
            <w:vAlign w:val="center"/>
          </w:tcPr>
          <w:p>
            <w:pPr>
              <w:spacing w:after="40" w:before="40"/>
              <w:jc w:val="center"/>
            </w:pPr>
            <w:r>
              <w:rPr>
                <w:b w:val="0"/>
                <w:color w:val="23303D"/>
                <w:sz w:val="18"/>
              </w:rPr>
              <w:t>리모주</w:t>
            </w:r>
          </w:p>
        </w:tc>
        <w:tc>
          <w:tcPr>
            <w:tcW w:type="dxa" w:w="6803"/>
            <w:vAlign w:val="center"/>
          </w:tcPr>
          <w:p>
            <w:pPr>
              <w:spacing w:after="40" w:before="40"/>
              <w:jc w:val="left"/>
            </w:pPr>
            <w:r>
              <w:rPr>
                <w:b w:val="0"/>
                <w:color w:val="23303D"/>
                <w:sz w:val="18"/>
              </w:rPr>
              <w:t>시청 건물 화재 등 심각한 시설 피해 보도</w:t>
            </w:r>
          </w:p>
        </w:tc>
      </w:tr>
    </w:tbl>
    <w:p>
      <w:r>
        <w:br w:type="page"/>
      </w:r>
    </w:p>
    <w:p>
      <w:pPr>
        <w:jc w:val="right"/>
      </w:pPr>
      <w:r>
        <w:rPr>
          <w:b/>
          <w:color w:val="306B96"/>
          <w:sz w:val="18"/>
        </w:rPr>
        <w:t>FRANCE  |  SOCIAL IMPACT</w:t>
      </w:r>
    </w:p>
    <w:p>
      <w:pPr>
        <w:pStyle w:val="Heading1"/>
        <w:jc w:val="left"/>
      </w:pPr>
      <w:r>
        <w:rPr>
          <w:b w:val="0"/>
        </w:rPr>
        <w:t>6. 정부 대응과 사회적 영향</w:t>
      </w:r>
    </w:p>
    <w:p>
      <w:pPr>
        <w:jc w:val="both"/>
      </w:pPr>
      <w:r>
        <w:rPr>
          <w:b w:val="0"/>
        </w:rPr>
        <w:t>에마뉘엘 마크롱 프랑스 대통령은 폭력과 약탈을 비판하면서도 시민들이 제기한 생활 여건 관련 불만을 인정했다. 정부는 질서 회복에 나섰고, 교육 여건 개선을 위한 조치도 발표했다. 그러나 일부 시위 참가자들은 대응이 충분하지 않다고 평가했다.</w:t>
      </w:r>
    </w:p>
    <w:p>
      <w:pPr>
        <w:jc w:val="both"/>
      </w:pPr>
      <w:r>
        <w:rPr>
          <w:b w:val="0"/>
        </w:rPr>
        <w:t>이번 사태는 집회와 표현의 자유를 보장하는 문제, 폭력 행위를 제지할 책임, 생활비와 공공서비스 개선의 필요성이 한꺼번에 드러난 사례다.</w:t>
      </w:r>
    </w:p>
    <w:p>
      <w:pPr>
        <w:pStyle w:val="Heading1"/>
        <w:jc w:val="left"/>
      </w:pPr>
      <w:r>
        <w:rPr>
          <w:b w:val="0"/>
        </w:rPr>
        <w:t>7. 주요 쟁점 비교표</w:t>
      </w:r>
    </w:p>
    <w:tbl>
      <w:tblPr>
        <w:tblStyle w:val="TableGrid"/>
        <w:tblW w:type="auto" w:w="0"/>
        <w:jc w:val="center"/>
        <w:tblLook w:firstColumn="1" w:firstRow="1" w:lastColumn="0" w:lastRow="0" w:noHBand="0" w:noVBand="1" w:val="04A0"/>
      </w:tblPr>
      <w:tblGrid>
        <w:gridCol w:w="3192"/>
        <w:gridCol w:w="3192"/>
        <w:gridCol w:w="3192"/>
      </w:tblGrid>
      <w:tr>
        <w:tc>
          <w:tcPr>
            <w:tcW w:type="dxa" w:w="1701"/>
            <w:vAlign w:val="center"/>
            <w:shd w:fill="24466E"/>
          </w:tcPr>
          <w:p>
            <w:pPr>
              <w:spacing w:after="40" w:before="40"/>
              <w:jc w:val="center"/>
            </w:pPr>
            <w:r>
              <w:rPr>
                <w:b/>
                <w:color w:val="FFFFFF"/>
                <w:sz w:val="18"/>
              </w:rPr>
              <w:t>구분</w:t>
            </w:r>
          </w:p>
        </w:tc>
        <w:tc>
          <w:tcPr>
            <w:tcW w:type="dxa" w:w="3458"/>
            <w:vAlign w:val="center"/>
            <w:shd w:fill="24466E"/>
          </w:tcPr>
          <w:p>
            <w:pPr>
              <w:spacing w:after="40" w:before="40"/>
              <w:jc w:val="left"/>
            </w:pPr>
            <w:r>
              <w:rPr>
                <w:b/>
                <w:color w:val="FFFFFF"/>
                <w:sz w:val="18"/>
              </w:rPr>
              <w:t>핵심 입장</w:t>
            </w:r>
          </w:p>
        </w:tc>
        <w:tc>
          <w:tcPr>
            <w:tcW w:type="dxa" w:w="3572"/>
            <w:vAlign w:val="center"/>
            <w:shd w:fill="24466E"/>
          </w:tcPr>
          <w:p>
            <w:pPr>
              <w:spacing w:after="40" w:before="40"/>
              <w:jc w:val="left"/>
            </w:pPr>
            <w:r>
              <w:rPr>
                <w:b/>
                <w:color w:val="FFFFFF"/>
                <w:sz w:val="18"/>
              </w:rPr>
              <w:t>중요 과제</w:t>
            </w:r>
          </w:p>
        </w:tc>
      </w:tr>
      <w:tr>
        <w:tc>
          <w:tcPr>
            <w:tcW w:type="dxa" w:w="1701"/>
            <w:vAlign w:val="center"/>
          </w:tcPr>
          <w:p>
            <w:pPr>
              <w:spacing w:after="40" w:before="40"/>
              <w:jc w:val="center"/>
            </w:pPr>
            <w:r>
              <w:rPr>
                <w:b w:val="0"/>
                <w:color w:val="23303D"/>
                <w:sz w:val="18"/>
              </w:rPr>
              <w:t>시위 참가자</w:t>
            </w:r>
          </w:p>
        </w:tc>
        <w:tc>
          <w:tcPr>
            <w:tcW w:type="dxa" w:w="3458"/>
            <w:vAlign w:val="center"/>
          </w:tcPr>
          <w:p>
            <w:pPr>
              <w:spacing w:after="40" w:before="40"/>
              <w:jc w:val="left"/>
            </w:pPr>
            <w:r>
              <w:rPr>
                <w:b w:val="0"/>
                <w:color w:val="23303D"/>
                <w:sz w:val="18"/>
              </w:rPr>
              <w:t>물가 안정과 교육환경 개선 요구</w:t>
            </w:r>
          </w:p>
        </w:tc>
        <w:tc>
          <w:tcPr>
            <w:tcW w:type="dxa" w:w="3572"/>
            <w:vAlign w:val="center"/>
          </w:tcPr>
          <w:p>
            <w:pPr>
              <w:spacing w:after="40" w:before="40"/>
              <w:jc w:val="left"/>
            </w:pPr>
            <w:r>
              <w:rPr>
                <w:b w:val="0"/>
                <w:color w:val="23303D"/>
                <w:sz w:val="18"/>
              </w:rPr>
              <w:t>대화 및 실질적인 제도 개선</w:t>
            </w:r>
          </w:p>
        </w:tc>
      </w:tr>
      <w:tr>
        <w:tc>
          <w:tcPr>
            <w:tcW w:type="dxa" w:w="1701"/>
            <w:vAlign w:val="center"/>
          </w:tcPr>
          <w:p>
            <w:pPr>
              <w:spacing w:after="40" w:before="40"/>
              <w:jc w:val="center"/>
            </w:pPr>
            <w:r>
              <w:rPr>
                <w:b w:val="0"/>
                <w:color w:val="23303D"/>
                <w:sz w:val="18"/>
              </w:rPr>
              <w:t>프랑스 정부</w:t>
            </w:r>
          </w:p>
        </w:tc>
        <w:tc>
          <w:tcPr>
            <w:tcW w:type="dxa" w:w="3458"/>
            <w:vAlign w:val="center"/>
          </w:tcPr>
          <w:p>
            <w:pPr>
              <w:spacing w:after="40" w:before="40"/>
              <w:jc w:val="left"/>
            </w:pPr>
            <w:r>
              <w:rPr>
                <w:b w:val="0"/>
                <w:color w:val="23303D"/>
                <w:sz w:val="18"/>
              </w:rPr>
              <w:t>시민 불만을 검토하되 폭력은 불허</w:t>
            </w:r>
          </w:p>
        </w:tc>
        <w:tc>
          <w:tcPr>
            <w:tcW w:type="dxa" w:w="3572"/>
            <w:vAlign w:val="center"/>
          </w:tcPr>
          <w:p>
            <w:pPr>
              <w:spacing w:after="40" w:before="40"/>
              <w:jc w:val="left"/>
            </w:pPr>
            <w:r>
              <w:rPr>
                <w:b w:val="0"/>
                <w:color w:val="23303D"/>
                <w:sz w:val="18"/>
              </w:rPr>
              <w:t>공공안전 확보와 정책 대응</w:t>
            </w:r>
          </w:p>
        </w:tc>
      </w:tr>
      <w:tr>
        <w:tc>
          <w:tcPr>
            <w:tcW w:type="dxa" w:w="1701"/>
            <w:vAlign w:val="center"/>
          </w:tcPr>
          <w:p>
            <w:pPr>
              <w:spacing w:after="40" w:before="40"/>
              <w:jc w:val="center"/>
            </w:pPr>
            <w:r>
              <w:rPr>
                <w:b w:val="0"/>
                <w:color w:val="23303D"/>
                <w:sz w:val="18"/>
              </w:rPr>
              <w:t>지역사회·상인</w:t>
            </w:r>
          </w:p>
        </w:tc>
        <w:tc>
          <w:tcPr>
            <w:tcW w:type="dxa" w:w="3458"/>
            <w:vAlign w:val="center"/>
          </w:tcPr>
          <w:p>
            <w:pPr>
              <w:spacing w:after="40" w:before="40"/>
              <w:jc w:val="left"/>
            </w:pPr>
            <w:r>
              <w:rPr>
                <w:b w:val="0"/>
                <w:color w:val="23303D"/>
                <w:sz w:val="18"/>
              </w:rPr>
              <w:t>시설 피해와 영업 중단 우려</w:t>
            </w:r>
          </w:p>
        </w:tc>
        <w:tc>
          <w:tcPr>
            <w:tcW w:type="dxa" w:w="3572"/>
            <w:vAlign w:val="center"/>
          </w:tcPr>
          <w:p>
            <w:pPr>
              <w:spacing w:after="40" w:before="40"/>
              <w:jc w:val="left"/>
            </w:pPr>
            <w:r>
              <w:rPr>
                <w:b w:val="0"/>
                <w:color w:val="23303D"/>
                <w:sz w:val="18"/>
              </w:rPr>
              <w:t>피해 복구와 정상화</w:t>
            </w:r>
          </w:p>
        </w:tc>
      </w:tr>
    </w:tbl>
    <w:p>
      <w:pPr>
        <w:pStyle w:val="Heading1"/>
        <w:jc w:val="left"/>
      </w:pPr>
      <w:r>
        <w:rPr>
          <w:b w:val="0"/>
        </w:rPr>
        <w:t>8. 향후 주목할 사항</w:t>
      </w:r>
    </w:p>
    <w:p>
      <w:pPr>
        <w:jc w:val="left"/>
      </w:pPr>
      <w:r>
        <w:rPr>
          <w:b w:val="0"/>
        </w:rPr>
        <w:t>가. 학생과 노동조합의 추가 집회 여부</w:t>
      </w:r>
    </w:p>
    <w:p>
      <w:pPr>
        <w:jc w:val="left"/>
      </w:pPr>
      <w:r>
        <w:rPr>
          <w:b w:val="0"/>
        </w:rPr>
        <w:t>나. 정부의 교육·생활비 관련 후속 정책</w:t>
      </w:r>
    </w:p>
    <w:p>
      <w:pPr>
        <w:jc w:val="left"/>
      </w:pPr>
      <w:r>
        <w:rPr>
          <w:b w:val="0"/>
        </w:rPr>
        <w:t>다. 시위 현장의 안전 및 피해 복구 상황</w:t>
      </w:r>
    </w:p>
    <w:p>
      <w:pPr>
        <w:pStyle w:val="Heading1"/>
        <w:jc w:val="left"/>
      </w:pPr>
      <w:r>
        <w:rPr>
          <w:b w:val="0"/>
        </w:rPr>
        <w:t>9. 종합 정리</w:t>
      </w:r>
    </w:p>
    <w:p>
      <w:pPr>
        <w:jc w:val="both"/>
      </w:pPr>
      <w:r>
        <w:rPr>
          <w:b w:val="0"/>
        </w:rPr>
        <w:t>프랑스 시위는 하나의 문제만으로 설명하기 어렵다. 교육환경 악화, 물가 상승, 공공서비스에 대한 불만이 서로 연결되면서 시민들의 참여가 확대되었다. 향후에는 평화적 의사 표현을 보장하면서도 폭력을 방지하고, 시민들이 요구한 정책 과제를 어떻게 해결할지가 중요한 쟁점이 될 전망이다.</w:t>
      </w:r>
    </w:p>
    <w:p>
      <w:pPr>
        <w:jc w:val="left"/>
      </w:pPr>
      <w:r>
        <w:rPr>
          <w:b w:val="0"/>
          <w:color w:val="626E7E"/>
          <w:sz w:val="17"/>
        </w:rPr>
        <w:t>자료 출처  |  AP News(2026.10.17~18), Reuters(2026.10.18), Le Monde(2026.10.18)</w:t>
      </w:r>
    </w:p>
    <w:p>
      <w:pPr>
        <w:jc w:val="left"/>
      </w:pPr>
      <w:r>
        <w:rPr>
          <w:b w:val="0"/>
          <w:color w:val="6D7782"/>
          <w:sz w:val="16"/>
        </w:rPr>
        <w:t>※ 본 문서는 뉴스 보도를 요약·재구성한 교육용 실습 자료이며, 시위 수치와 상황은 보도 시점에 따라 달라질 수 있음.</w:t>
      </w:r>
    </w:p>
    <w:sectPr w:rsidR="00FC693F" w:rsidRPr="0006063C" w:rsidSect="00034616">
      <w:footerReference w:type="default" r:id="rId9"/>
      <w:pgSz w:w="12240" w:h="15840"/>
      <w:pgMar w:top="1191" w:right="1332" w:bottom="1077"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D7782"/>
        <w:sz w:val="16"/>
      </w:rPr>
      <w:t>한글 문서작성 실습  |  국제사회 뉴스 보고서  |  2026. 10. 19.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1" w:lineRule="auto" w:after="140"/>
    </w:pPr>
    <w:rPr>
      <w:rFonts w:ascii="맑은 고딕" w:hAnsi="맑은 고딕"/>
      <w:color w:val="29323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맑은 고딕" w:hAnsi="맑은 고딕"/>
      <w:b/>
      <w:bCs/>
      <w:color w:val="194677"/>
      <w:sz w:val="2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맑은 고딕" w:hAnsi="맑은 고딕"/>
      <w:b/>
      <w:bCs/>
      <w:color w:val="1C547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00"/>
      <w:contextualSpacing/>
    </w:pPr>
    <w:rPr>
      <w:rFonts w:asciiTheme="majorHAnsi" w:eastAsiaTheme="majorEastAsia" w:hAnsiTheme="majorHAnsi" w:cstheme="majorBidi" w:ascii="맑은 고딕" w:hAnsi="맑은 고딕"/>
      <w:b/>
      <w:color w:val="1A335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