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pPr>
        <w:pStyle w:val="Heading3"/>
      </w:pPr>
      <w:r>
        <w:rPr>
          <w:rFonts w:ascii="Times New Roman" w:hAnsi="Times New Roman"/>
          <w:b/>
          <w:sz w:val="26"/>
        </w:rPr>
        <w:t>• Ketenangan Jiwa dan Daya Lajakan Asal</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pPr>
        <w:pStyle w:val="Heading3"/>
      </w:pPr>
      <w:r>
        <w:rPr>
          <w:rFonts w:ascii="Times New Roman" w:hAnsi="Times New Roman"/>
          <w:b/>
          <w:sz w:val="26"/>
        </w:rPr>
        <w:t>• Kilauan Bayang di Permukaan Tasik</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pPr>
        <w:pStyle w:val="Heading3"/>
      </w:pPr>
      <w:r>
        <w:rPr>
          <w:rFonts w:ascii="Times New Roman" w:hAnsi="Times New Roman"/>
          <w:b/>
          <w:sz w:val="26"/>
        </w:rPr>
        <w:t>• Simpang Petunjuk dan Keperluan Amaran Pelembut Hati</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pPr>
        <w:pStyle w:val="Heading3"/>
      </w:pPr>
      <w:r>
        <w:rPr>
          <w:rFonts w:ascii="Times New Roman" w:hAnsi="Times New Roman"/>
          <w:b/>
          <w:sz w:val="26"/>
        </w:rPr>
        <w:t>• Ketinggian Iman Mendepani Falsafah Bahimiyyah</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